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31F12">
      <w:pPr>
        <w:pStyle w:val="3"/>
        <w:snapToGrid w:val="0"/>
        <w:spacing w:line="360" w:lineRule="auto"/>
        <w:rPr>
          <w:rFonts w:hint="default" w:ascii="黑体" w:hAnsi="宋体" w:eastAsia="黑体"/>
          <w:b w:val="0"/>
          <w:color w:val="auto"/>
          <w:sz w:val="32"/>
        </w:rPr>
      </w:pPr>
      <w:r>
        <w:rPr>
          <w:rFonts w:ascii="黑体" w:hAnsi="宋体" w:eastAsia="黑体"/>
          <w:b w:val="0"/>
          <w:color w:val="auto"/>
          <w:sz w:val="32"/>
        </w:rPr>
        <w:t>广东省地方标准《艾灸仪 无烟检测技术》</w:t>
      </w:r>
    </w:p>
    <w:p w14:paraId="26ABE423">
      <w:pPr>
        <w:spacing w:line="360" w:lineRule="auto"/>
        <w:jc w:val="center"/>
        <w:rPr>
          <w:rFonts w:ascii="黑体" w:hAnsi="宋体" w:eastAsia="黑体"/>
          <w:bCs/>
          <w:sz w:val="32"/>
          <w:szCs w:val="36"/>
        </w:rPr>
      </w:pPr>
      <w:r>
        <w:rPr>
          <w:rFonts w:hint="eastAsia" w:ascii="黑体" w:hAnsi="宋体" w:eastAsia="黑体"/>
          <w:bCs/>
          <w:sz w:val="32"/>
          <w:szCs w:val="36"/>
        </w:rPr>
        <w:t>编制说明</w:t>
      </w:r>
    </w:p>
    <w:p w14:paraId="7B6490BF">
      <w:pPr>
        <w:keepNext/>
        <w:keepLines/>
        <w:spacing w:before="120" w:after="120" w:line="360" w:lineRule="auto"/>
        <w:outlineLvl w:val="0"/>
        <w:rPr>
          <w:rFonts w:ascii="黑体" w:hAnsi="黑体" w:eastAsia="黑体"/>
          <w:b/>
          <w:bCs/>
          <w:kern w:val="44"/>
          <w:sz w:val="28"/>
          <w:szCs w:val="28"/>
        </w:rPr>
      </w:pPr>
      <w:r>
        <w:rPr>
          <w:rFonts w:ascii="黑体" w:hAnsi="黑体" w:eastAsia="黑体"/>
          <w:b/>
          <w:bCs/>
          <w:kern w:val="44"/>
          <w:sz w:val="28"/>
          <w:szCs w:val="28"/>
        </w:rPr>
        <w:t>一、工作简况</w:t>
      </w:r>
    </w:p>
    <w:p w14:paraId="19970BDF">
      <w:pPr>
        <w:pStyle w:val="3"/>
        <w:snapToGrid w:val="0"/>
        <w:spacing w:line="360" w:lineRule="auto"/>
        <w:ind w:firstLine="562" w:firstLineChars="200"/>
        <w:jc w:val="both"/>
        <w:outlineLvl w:val="1"/>
        <w:rPr>
          <w:rFonts w:hint="default" w:asciiTheme="majorEastAsia" w:hAnsiTheme="majorEastAsia" w:eastAsiaTheme="majorEastAsia"/>
          <w:color w:val="auto"/>
          <w:sz w:val="28"/>
          <w:szCs w:val="28"/>
        </w:rPr>
      </w:pPr>
      <w:r>
        <w:rPr>
          <w:rFonts w:asciiTheme="majorEastAsia" w:hAnsiTheme="majorEastAsia" w:eastAsiaTheme="majorEastAsia"/>
          <w:color w:val="auto"/>
          <w:sz w:val="28"/>
          <w:szCs w:val="28"/>
        </w:rPr>
        <w:t>（一）任务来源</w:t>
      </w:r>
    </w:p>
    <w:p w14:paraId="01004B8D">
      <w:pPr>
        <w:pStyle w:val="3"/>
        <w:snapToGrid w:val="0"/>
        <w:spacing w:line="360" w:lineRule="auto"/>
        <w:ind w:firstLine="560" w:firstLineChars="200"/>
        <w:jc w:val="both"/>
        <w:rPr>
          <w:rFonts w:hint="default" w:asciiTheme="minorEastAsia" w:hAnsiTheme="minorEastAsia" w:eastAsiaTheme="minorEastAsia"/>
          <w:b w:val="0"/>
          <w:bCs w:val="0"/>
          <w:color w:val="auto"/>
          <w:sz w:val="28"/>
          <w:szCs w:val="28"/>
        </w:rPr>
      </w:pPr>
      <w:r>
        <w:rPr>
          <w:rFonts w:asciiTheme="minorEastAsia" w:hAnsiTheme="minorEastAsia" w:eastAsiaTheme="minorEastAsia"/>
          <w:b w:val="0"/>
          <w:bCs w:val="0"/>
          <w:color w:val="auto"/>
          <w:sz w:val="28"/>
          <w:szCs w:val="28"/>
        </w:rPr>
        <w:t>广东省市场监督管理局202</w:t>
      </w:r>
      <w:r>
        <w:rPr>
          <w:rFonts w:hint="default" w:asciiTheme="minorEastAsia" w:hAnsiTheme="minorEastAsia" w:eastAsiaTheme="minorEastAsia"/>
          <w:b w:val="0"/>
          <w:bCs w:val="0"/>
          <w:color w:val="auto"/>
          <w:sz w:val="28"/>
          <w:szCs w:val="28"/>
        </w:rPr>
        <w:t>4</w:t>
      </w:r>
      <w:r>
        <w:rPr>
          <w:rFonts w:asciiTheme="minorEastAsia" w:hAnsiTheme="minorEastAsia" w:eastAsiaTheme="minorEastAsia"/>
          <w:b w:val="0"/>
          <w:bCs w:val="0"/>
          <w:color w:val="auto"/>
          <w:sz w:val="28"/>
          <w:szCs w:val="28"/>
        </w:rPr>
        <w:t>第一批大规模设备更新和消费品以旧换新相关广东省地方标准制修订计划项目（粤市监标准〔2024〕177号）。该地方标准计划由广东省中医药局提出并组织实施，由广东省中医标准化技术委员会（GD/TC 31）归口。</w:t>
      </w:r>
    </w:p>
    <w:p w14:paraId="63D60B92">
      <w:pPr>
        <w:pStyle w:val="3"/>
        <w:snapToGrid w:val="0"/>
        <w:spacing w:line="360" w:lineRule="auto"/>
        <w:ind w:firstLine="562" w:firstLineChars="200"/>
        <w:jc w:val="both"/>
        <w:outlineLvl w:val="1"/>
        <w:rPr>
          <w:rFonts w:hint="default" w:asciiTheme="majorEastAsia" w:hAnsiTheme="majorEastAsia" w:eastAsiaTheme="majorEastAsia"/>
          <w:color w:val="auto"/>
          <w:sz w:val="28"/>
          <w:szCs w:val="28"/>
        </w:rPr>
      </w:pPr>
      <w:r>
        <w:rPr>
          <w:rFonts w:asciiTheme="majorEastAsia" w:hAnsiTheme="majorEastAsia" w:eastAsiaTheme="majorEastAsia"/>
          <w:color w:val="auto"/>
          <w:sz w:val="28"/>
          <w:szCs w:val="28"/>
        </w:rPr>
        <w:t>（二）分工</w:t>
      </w:r>
    </w:p>
    <w:p w14:paraId="6567DDCE">
      <w:pPr>
        <w:pStyle w:val="3"/>
        <w:snapToGrid w:val="0"/>
        <w:spacing w:line="360" w:lineRule="auto"/>
        <w:ind w:firstLine="560" w:firstLineChars="200"/>
        <w:jc w:val="both"/>
        <w:rPr>
          <w:rFonts w:hint="default" w:asciiTheme="minorEastAsia" w:hAnsiTheme="minorEastAsia" w:eastAsiaTheme="minorEastAsia"/>
          <w:b w:val="0"/>
          <w:bCs w:val="0"/>
          <w:color w:val="auto"/>
          <w:sz w:val="28"/>
          <w:szCs w:val="28"/>
        </w:rPr>
      </w:pPr>
      <w:r>
        <w:rPr>
          <w:rFonts w:asciiTheme="minorEastAsia" w:hAnsiTheme="minorEastAsia" w:eastAsiaTheme="minorEastAsia"/>
          <w:b w:val="0"/>
          <w:bCs w:val="0"/>
          <w:color w:val="auto"/>
          <w:sz w:val="28"/>
          <w:szCs w:val="28"/>
        </w:rPr>
        <w:t>由广东省中医院（广州中医药大学第二附属医院）作为主导单位负责开展标准的</w:t>
      </w:r>
      <w:r>
        <w:rPr>
          <w:rFonts w:hint="default" w:asciiTheme="minorEastAsia" w:hAnsiTheme="minorEastAsia" w:eastAsiaTheme="minorEastAsia"/>
          <w:b w:val="0"/>
          <w:bCs w:val="0"/>
          <w:color w:val="auto"/>
          <w:sz w:val="28"/>
          <w:szCs w:val="28"/>
        </w:rPr>
        <w:t>翻译、相关</w:t>
      </w:r>
      <w:r>
        <w:rPr>
          <w:rFonts w:asciiTheme="minorEastAsia" w:hAnsiTheme="minorEastAsia" w:eastAsiaTheme="minorEastAsia"/>
          <w:b w:val="0"/>
          <w:bCs w:val="0"/>
          <w:color w:val="auto"/>
          <w:sz w:val="28"/>
          <w:szCs w:val="28"/>
        </w:rPr>
        <w:t>法律</w:t>
      </w:r>
      <w:r>
        <w:rPr>
          <w:rFonts w:hint="default" w:asciiTheme="minorEastAsia" w:hAnsiTheme="minorEastAsia" w:eastAsiaTheme="minorEastAsia"/>
          <w:b w:val="0"/>
          <w:bCs w:val="0"/>
          <w:color w:val="auto"/>
          <w:sz w:val="28"/>
          <w:szCs w:val="28"/>
        </w:rPr>
        <w:t>法规适用性</w:t>
      </w:r>
      <w:r>
        <w:rPr>
          <w:rFonts w:asciiTheme="minorEastAsia" w:hAnsiTheme="minorEastAsia" w:eastAsiaTheme="minorEastAsia"/>
          <w:b w:val="0"/>
          <w:bCs w:val="0"/>
          <w:color w:val="auto"/>
          <w:sz w:val="28"/>
          <w:szCs w:val="28"/>
        </w:rPr>
        <w:t>评价、标准文本校对。</w:t>
      </w:r>
    </w:p>
    <w:p w14:paraId="33B1AD2D">
      <w:pPr>
        <w:pStyle w:val="3"/>
        <w:snapToGrid w:val="0"/>
        <w:spacing w:line="360" w:lineRule="auto"/>
        <w:ind w:firstLine="562" w:firstLineChars="200"/>
        <w:jc w:val="both"/>
        <w:outlineLvl w:val="0"/>
        <w:rPr>
          <w:rFonts w:hint="default" w:asciiTheme="majorEastAsia" w:hAnsiTheme="majorEastAsia" w:eastAsiaTheme="majorEastAsia"/>
          <w:bCs w:val="0"/>
          <w:color w:val="auto"/>
          <w:sz w:val="28"/>
          <w:szCs w:val="28"/>
        </w:rPr>
      </w:pPr>
      <w:r>
        <w:rPr>
          <w:rFonts w:asciiTheme="majorEastAsia" w:hAnsiTheme="majorEastAsia" w:eastAsiaTheme="majorEastAsia"/>
          <w:bCs w:val="0"/>
          <w:color w:val="auto"/>
          <w:sz w:val="28"/>
          <w:szCs w:val="28"/>
        </w:rPr>
        <w:t>（三）立项的必要性</w:t>
      </w:r>
    </w:p>
    <w:p w14:paraId="4A8E6350">
      <w:pPr>
        <w:spacing w:line="360" w:lineRule="auto"/>
        <w:ind w:firstLine="482" w:firstLineChars="200"/>
        <w:rPr>
          <w:sz w:val="24"/>
        </w:rPr>
      </w:pPr>
      <w:r>
        <w:rPr>
          <w:rFonts w:hint="eastAsia"/>
          <w:b/>
          <w:bCs/>
          <w:sz w:val="24"/>
        </w:rPr>
        <w:t>艾灸仪</w:t>
      </w:r>
      <w:r>
        <w:rPr>
          <w:rFonts w:hint="eastAsia"/>
          <w:sz w:val="24"/>
        </w:rPr>
        <w:t>是以艾条、艾柱等艾材为主要燃烧物，将燃烧热量作用于体表经络、穴位等特定部位进行艾灸的器械。艾灸仪可固定点燃的艾条等于体表，发明至今历史悠久，且形态各异，可用于体表各处，显著提升了艾灸的便利性、安全性，广受老百姓欢迎。</w:t>
      </w:r>
    </w:p>
    <w:p w14:paraId="7192C158">
      <w:pPr>
        <w:spacing w:line="360" w:lineRule="auto"/>
        <w:ind w:firstLine="480" w:firstLineChars="200"/>
        <w:rPr>
          <w:sz w:val="24"/>
        </w:rPr>
      </w:pPr>
      <w:r>
        <w:rPr>
          <w:rFonts w:hint="eastAsia"/>
          <w:sz w:val="24"/>
        </w:rPr>
        <w:t>但艾烟作为艾灸过程中的有明显异味的副产物，却会给部分使用者，尤其是在室内艾灸的使用者带来不适。尽管有临床与动物学研究表明艾烟具有一定的治疗作用。为了消减艾烟，无烟艾灸仪问世。这是一类新型艾灸器械，其中使用无烟碳化艾条，或加装了有效过滤烟雾的配件，具有烟雾浓度低、异味少的优点，受到部分消费者偏爱与相关厂商的关注。</w:t>
      </w:r>
    </w:p>
    <w:p w14:paraId="5384D5C5">
      <w:pPr>
        <w:spacing w:line="360" w:lineRule="auto"/>
        <w:ind w:firstLine="480" w:firstLineChars="200"/>
        <w:rPr>
          <w:sz w:val="24"/>
        </w:rPr>
      </w:pPr>
      <w:r>
        <w:rPr>
          <w:rFonts w:hint="eastAsia"/>
          <w:sz w:val="24"/>
        </w:rPr>
        <w:t>实现烟雾控制的技术从原理上包括2类，即直接使用无烟碳化艾条（见图1</w:t>
      </w:r>
      <w:r>
        <w:rPr>
          <w:sz w:val="24"/>
        </w:rPr>
        <w:t>a</w:t>
      </w:r>
      <w:r>
        <w:rPr>
          <w:rFonts w:hint="eastAsia"/>
          <w:sz w:val="24"/>
        </w:rPr>
        <w:t>）实现几乎无烟无味，或者使用一定的过滤装置（见图</w:t>
      </w:r>
      <w:r>
        <w:rPr>
          <w:sz w:val="24"/>
        </w:rPr>
        <w:t>1b</w:t>
      </w:r>
      <w:r>
        <w:rPr>
          <w:rFonts w:hint="eastAsia"/>
          <w:sz w:val="24"/>
        </w:rPr>
        <w:t>）减少艾烟及其气味的释放等等。在目前关于医疗器械的法律法规、标准体系下，我国尚无任何关于无烟艾灸仪的标准或规定。但当前市面上在售的自称为“无烟艾灸仪”的产品已然琳琅满目，消减艾烟的效果良莠不齐。有的“无烟艾灸”产品甚至仍有明显气味，以及少量烟雾排放。艾烟排放或多或少的“无烟”艾灸仪对消费者带来一定的误导性。对艾烟过敏或有不良反应的消费者错误地购买到艾烟消减不达标的产品，可能有损害健康的风险。</w:t>
      </w:r>
    </w:p>
    <w:p w14:paraId="2A09BB03">
      <w:pPr>
        <w:spacing w:line="360" w:lineRule="auto"/>
        <w:jc w:val="center"/>
        <w:rPr>
          <w:szCs w:val="20"/>
        </w:rPr>
      </w:pPr>
      <w:r>
        <w:rPr>
          <w:szCs w:val="20"/>
        </w:rPr>
        <w:drawing>
          <wp:inline distT="0" distB="0" distL="0" distR="0">
            <wp:extent cx="2886710" cy="2148840"/>
            <wp:effectExtent l="0" t="0" r="889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903586" cy="2161368"/>
                    </a:xfrm>
                    <a:prstGeom prst="rect">
                      <a:avLst/>
                    </a:prstGeom>
                    <a:noFill/>
                    <a:ln>
                      <a:noFill/>
                    </a:ln>
                  </pic:spPr>
                </pic:pic>
              </a:graphicData>
            </a:graphic>
          </wp:inline>
        </w:drawing>
      </w:r>
      <w:r>
        <w:rPr>
          <w:rFonts w:hint="eastAsia"/>
          <w:szCs w:val="20"/>
        </w:rPr>
        <w:t>a</w:t>
      </w:r>
      <w:r>
        <w:rPr>
          <w:szCs w:val="20"/>
        </w:rPr>
        <w:t xml:space="preserve"> </w:t>
      </w:r>
      <w:r>
        <w:rPr>
          <w:szCs w:val="20"/>
        </w:rPr>
        <w:drawing>
          <wp:inline distT="0" distB="0" distL="0" distR="0">
            <wp:extent cx="2753360" cy="244602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760712" cy="2452744"/>
                    </a:xfrm>
                    <a:prstGeom prst="rect">
                      <a:avLst/>
                    </a:prstGeom>
                    <a:noFill/>
                    <a:ln>
                      <a:noFill/>
                    </a:ln>
                  </pic:spPr>
                </pic:pic>
              </a:graphicData>
            </a:graphic>
          </wp:inline>
        </w:drawing>
      </w:r>
      <w:r>
        <w:rPr>
          <w:szCs w:val="20"/>
        </w:rPr>
        <w:t>b</w:t>
      </w:r>
    </w:p>
    <w:p w14:paraId="525830C4">
      <w:pPr>
        <w:spacing w:line="360" w:lineRule="auto"/>
        <w:jc w:val="center"/>
        <w:rPr>
          <w:szCs w:val="20"/>
        </w:rPr>
      </w:pPr>
      <w:r>
        <w:rPr>
          <w:rFonts w:hint="eastAsia"/>
          <w:szCs w:val="20"/>
        </w:rPr>
        <w:t>图1</w:t>
      </w:r>
      <w:r>
        <w:rPr>
          <w:szCs w:val="20"/>
        </w:rPr>
        <w:t xml:space="preserve"> </w:t>
      </w:r>
      <w:r>
        <w:rPr>
          <w:rFonts w:hint="eastAsia"/>
          <w:szCs w:val="20"/>
        </w:rPr>
        <w:t>无烟艾灸产品</w:t>
      </w:r>
    </w:p>
    <w:p w14:paraId="1C539E68">
      <w:pPr>
        <w:spacing w:line="360" w:lineRule="auto"/>
        <w:ind w:firstLine="480" w:firstLineChars="200"/>
        <w:rPr>
          <w:sz w:val="24"/>
        </w:rPr>
      </w:pPr>
    </w:p>
    <w:p w14:paraId="4EF0AF08">
      <w:pPr>
        <w:spacing w:line="360" w:lineRule="auto"/>
        <w:ind w:firstLine="480" w:firstLineChars="200"/>
        <w:rPr>
          <w:sz w:val="24"/>
        </w:rPr>
      </w:pPr>
      <w:r>
        <w:rPr>
          <w:rFonts w:hint="eastAsia"/>
          <w:sz w:val="24"/>
        </w:rPr>
        <w:t>而国际标准化组织（ISO）TC249中医药标准化技术委员会已于2</w:t>
      </w:r>
      <w:r>
        <w:rPr>
          <w:sz w:val="24"/>
        </w:rPr>
        <w:t>019</w:t>
      </w:r>
      <w:r>
        <w:rPr>
          <w:rFonts w:hint="eastAsia"/>
          <w:sz w:val="24"/>
        </w:rPr>
        <w:t>年发布ISO</w:t>
      </w:r>
      <w:r>
        <w:rPr>
          <w:sz w:val="24"/>
        </w:rPr>
        <w:t xml:space="preserve"> 21366</w:t>
      </w:r>
      <w:r>
        <w:rPr>
          <w:rFonts w:hint="eastAsia"/>
          <w:sz w:val="24"/>
        </w:rPr>
        <w:t>：2</w:t>
      </w:r>
      <w:r>
        <w:rPr>
          <w:sz w:val="24"/>
        </w:rPr>
        <w:t>019</w:t>
      </w:r>
      <w:r>
        <w:rPr>
          <w:rFonts w:hint="eastAsia"/>
          <w:sz w:val="24"/>
        </w:rPr>
        <w:t>《中医药—无烟灸具通用要求（</w:t>
      </w:r>
      <w:r>
        <w:rPr>
          <w:sz w:val="24"/>
        </w:rPr>
        <w:t>Traditional Chinese medicine - General requirements for smokeless moxibustion devices</w:t>
      </w:r>
      <w:r>
        <w:rPr>
          <w:rFonts w:hint="eastAsia"/>
          <w:sz w:val="24"/>
        </w:rPr>
        <w:t>）》，其中不仅明确给出了艾灸仪烟雾浓度的检测方法，同时给出了无烟灸具应满足的烟雾浓度上限，以及不能激发室内火警报警装置的要求。该标准为无烟灸具这类新兴保健产品提供了规范参考。</w:t>
      </w:r>
    </w:p>
    <w:p w14:paraId="3BE34961">
      <w:pPr>
        <w:spacing w:line="360" w:lineRule="auto"/>
        <w:ind w:firstLine="480" w:firstLineChars="200"/>
        <w:rPr>
          <w:rFonts w:hint="eastAsia" w:ascii="等线" w:hAnsi="等线"/>
          <w:sz w:val="24"/>
        </w:rPr>
      </w:pPr>
      <w:r>
        <w:rPr>
          <w:rFonts w:hint="eastAsia" w:ascii="等线" w:hAnsi="等线"/>
          <w:sz w:val="24"/>
        </w:rPr>
        <w:t>引进采用本国际标准，有助于为无烟艾灸仪提供明确的技术规范，推动该类产品的生产制造规范化，促进新型艾灸仪市场的有序发展，保护艾灸仪购买者的安全，为该器械的生产与销售管理提供重要依据。</w:t>
      </w:r>
    </w:p>
    <w:p w14:paraId="12499619">
      <w:pPr>
        <w:numPr>
          <w:ilvl w:val="0"/>
          <w:numId w:val="1"/>
        </w:numPr>
        <w:spacing w:line="360" w:lineRule="auto"/>
        <w:ind w:firstLine="480" w:firstLineChars="200"/>
        <w:rPr>
          <w:rFonts w:hint="eastAsia" w:ascii="等线" w:hAnsi="等线"/>
          <w:sz w:val="24"/>
          <w:lang w:eastAsia="zh-CN"/>
        </w:rPr>
      </w:pPr>
      <w:r>
        <w:rPr>
          <w:rFonts w:hint="eastAsia" w:ascii="等线" w:hAnsi="等线"/>
          <w:sz w:val="24"/>
          <w:lang w:eastAsia="zh-CN"/>
        </w:rPr>
        <w:t>工作简况</w:t>
      </w:r>
    </w:p>
    <w:p w14:paraId="2BDA5AEE">
      <w:pPr>
        <w:spacing w:line="360" w:lineRule="auto"/>
        <w:ind w:firstLine="480" w:firstLineChars="200"/>
        <w:rPr>
          <w:rFonts w:hint="eastAsia" w:ascii="等线" w:hAnsi="等线"/>
          <w:sz w:val="24"/>
          <w:lang w:val="en-US" w:eastAsia="zh-CN"/>
        </w:rPr>
      </w:pPr>
      <w:r>
        <w:rPr>
          <w:rFonts w:hint="eastAsia" w:ascii="等线" w:hAnsi="等线"/>
          <w:sz w:val="24"/>
          <w:lang w:eastAsia="zh-CN"/>
        </w:rPr>
        <w:t>起草阶段：</w:t>
      </w:r>
      <w:r>
        <w:rPr>
          <w:rFonts w:hint="eastAsia" w:ascii="等线" w:hAnsi="等线"/>
          <w:sz w:val="24"/>
          <w:lang w:val="en-US" w:eastAsia="zh-CN"/>
        </w:rPr>
        <w:t>2024年7月~2024年9月</w:t>
      </w:r>
    </w:p>
    <w:p w14:paraId="7018CE6D">
      <w:pPr>
        <w:spacing w:line="360" w:lineRule="auto"/>
        <w:ind w:firstLine="480" w:firstLineChars="200"/>
        <w:rPr>
          <w:rFonts w:hint="eastAsia" w:ascii="等线" w:hAnsi="等线"/>
          <w:sz w:val="24"/>
          <w:lang w:val="en-US" w:eastAsia="zh-CN"/>
        </w:rPr>
      </w:pPr>
      <w:r>
        <w:rPr>
          <w:rFonts w:hint="eastAsia" w:ascii="等线" w:hAnsi="等线"/>
          <w:sz w:val="24"/>
          <w:lang w:val="en-US" w:eastAsia="zh-CN"/>
        </w:rPr>
        <w:t>征求意见阶段：2024年9月~2025年3月</w:t>
      </w:r>
    </w:p>
    <w:p w14:paraId="04632CE6">
      <w:pPr>
        <w:spacing w:line="360" w:lineRule="auto"/>
        <w:ind w:firstLine="480" w:firstLineChars="200"/>
        <w:rPr>
          <w:rFonts w:hint="default" w:ascii="等线" w:hAnsi="等线"/>
          <w:sz w:val="24"/>
          <w:lang w:val="en-US" w:eastAsia="zh-CN"/>
        </w:rPr>
      </w:pPr>
      <w:r>
        <w:rPr>
          <w:rFonts w:hint="eastAsia" w:ascii="等线" w:hAnsi="等线"/>
          <w:sz w:val="24"/>
          <w:lang w:val="en-US" w:eastAsia="zh-CN"/>
        </w:rPr>
        <w:t>送审阶段：2025年4月~2025年6月</w:t>
      </w:r>
      <w:bookmarkStart w:id="0" w:name="_GoBack"/>
      <w:bookmarkEnd w:id="0"/>
    </w:p>
    <w:p w14:paraId="2EECD7B2">
      <w:pPr>
        <w:keepNext/>
        <w:keepLines/>
        <w:spacing w:before="120" w:after="120" w:line="360" w:lineRule="auto"/>
        <w:outlineLvl w:val="0"/>
        <w:rPr>
          <w:rFonts w:ascii="黑体" w:hAnsi="黑体" w:eastAsia="黑体"/>
          <w:b/>
          <w:bCs/>
          <w:kern w:val="44"/>
          <w:sz w:val="28"/>
          <w:szCs w:val="28"/>
        </w:rPr>
      </w:pPr>
      <w:r>
        <w:rPr>
          <w:rFonts w:hint="eastAsia" w:ascii="黑体" w:hAnsi="黑体" w:eastAsia="黑体"/>
          <w:b/>
          <w:bCs/>
          <w:kern w:val="44"/>
          <w:sz w:val="28"/>
          <w:szCs w:val="28"/>
        </w:rPr>
        <w:t>二</w:t>
      </w:r>
      <w:r>
        <w:rPr>
          <w:rFonts w:ascii="黑体" w:hAnsi="黑体" w:eastAsia="黑体"/>
          <w:b/>
          <w:bCs/>
          <w:kern w:val="44"/>
          <w:sz w:val="28"/>
          <w:szCs w:val="28"/>
        </w:rPr>
        <w:t>、编制原则</w:t>
      </w:r>
    </w:p>
    <w:p w14:paraId="4F1B9AFC">
      <w:pPr>
        <w:spacing w:line="360" w:lineRule="auto"/>
        <w:ind w:firstLine="480" w:firstLineChars="200"/>
        <w:rPr>
          <w:sz w:val="24"/>
        </w:rPr>
      </w:pPr>
      <w:r>
        <w:rPr>
          <w:rFonts w:hint="eastAsia"/>
          <w:sz w:val="24"/>
        </w:rPr>
        <w:t>本标准按照GB/T 1.1—2020《标准化工作导则 第1部分：标准化文件的结构和起草规则》、GB/T</w:t>
      </w:r>
      <w:r>
        <w:rPr>
          <w:sz w:val="24"/>
        </w:rPr>
        <w:t xml:space="preserve"> 1.2—2020</w:t>
      </w:r>
      <w:r>
        <w:rPr>
          <w:rFonts w:hint="eastAsia"/>
          <w:sz w:val="24"/>
        </w:rPr>
        <w:t>《标准化工作导则 第2部分：以ISO IEC标准化文件为基础的标准化文件起草规则》以及《采用国际标准管理办法》的要求起草，遵循以下原则：</w:t>
      </w:r>
    </w:p>
    <w:p w14:paraId="71158EC9">
      <w:pPr>
        <w:spacing w:line="360" w:lineRule="auto"/>
        <w:ind w:left="900" w:leftChars="200" w:hanging="480" w:hangingChars="200"/>
        <w:rPr>
          <w:sz w:val="24"/>
        </w:rPr>
      </w:pPr>
      <w:r>
        <w:rPr>
          <w:sz w:val="24"/>
        </w:rPr>
        <w:t>——</w:t>
      </w:r>
      <w:r>
        <w:rPr>
          <w:rFonts w:hint="eastAsia"/>
          <w:sz w:val="24"/>
        </w:rPr>
        <w:t>遵守ISO相关政策文件；</w:t>
      </w:r>
    </w:p>
    <w:p w14:paraId="63139BAB">
      <w:pPr>
        <w:spacing w:line="360" w:lineRule="auto"/>
        <w:ind w:left="900" w:leftChars="200" w:hanging="480" w:hangingChars="200"/>
        <w:rPr>
          <w:sz w:val="24"/>
        </w:rPr>
      </w:pPr>
      <w:r>
        <w:rPr>
          <w:rFonts w:hint="eastAsia"/>
          <w:sz w:val="24"/>
        </w:rPr>
        <w:t>——结合国情确定采用的一致性程度，技术内容符合我国产业实际情况；</w:t>
      </w:r>
    </w:p>
    <w:p w14:paraId="0247E9A2">
      <w:pPr>
        <w:spacing w:line="360" w:lineRule="auto"/>
        <w:ind w:left="900" w:leftChars="200" w:hanging="480" w:hangingChars="200"/>
        <w:rPr>
          <w:sz w:val="24"/>
        </w:rPr>
      </w:pPr>
      <w:r>
        <w:rPr>
          <w:rFonts w:hint="eastAsia"/>
          <w:sz w:val="24"/>
        </w:rPr>
        <w:t>——起草为一一对应的国家标准化文件；</w:t>
      </w:r>
    </w:p>
    <w:p w14:paraId="1BDA9EA8">
      <w:pPr>
        <w:spacing w:line="360" w:lineRule="auto"/>
        <w:ind w:left="900" w:leftChars="200" w:hanging="480" w:hangingChars="200"/>
        <w:rPr>
          <w:sz w:val="24"/>
        </w:rPr>
      </w:pPr>
      <w:r>
        <w:rPr>
          <w:rFonts w:hint="eastAsia"/>
          <w:sz w:val="24"/>
        </w:rPr>
        <w:t>——准确翻译原意，遵守条款中助动词的翻译规定；</w:t>
      </w:r>
    </w:p>
    <w:p w14:paraId="2D054C5B">
      <w:pPr>
        <w:spacing w:line="360" w:lineRule="auto"/>
        <w:ind w:left="900" w:leftChars="200" w:hanging="480" w:hangingChars="200"/>
        <w:rPr>
          <w:sz w:val="24"/>
        </w:rPr>
      </w:pPr>
      <w:r>
        <w:rPr>
          <w:rFonts w:hint="eastAsia"/>
          <w:sz w:val="24"/>
        </w:rPr>
        <w:t>——译文符合汉语表达习惯，遵循汉语语法规则。</w:t>
      </w:r>
    </w:p>
    <w:p w14:paraId="3F4F07D0">
      <w:pPr>
        <w:keepNext/>
        <w:keepLines/>
        <w:spacing w:before="120" w:after="120" w:line="360" w:lineRule="auto"/>
        <w:outlineLvl w:val="0"/>
        <w:rPr>
          <w:rFonts w:ascii="黑体" w:hAnsi="黑体" w:eastAsia="黑体"/>
          <w:b/>
          <w:bCs/>
          <w:kern w:val="44"/>
          <w:sz w:val="28"/>
          <w:szCs w:val="28"/>
        </w:rPr>
      </w:pPr>
      <w:r>
        <w:rPr>
          <w:rFonts w:hint="eastAsia" w:ascii="黑体" w:hAnsi="黑体" w:eastAsia="黑体"/>
          <w:b/>
          <w:bCs/>
          <w:kern w:val="44"/>
          <w:sz w:val="28"/>
          <w:szCs w:val="28"/>
        </w:rPr>
        <w:t>三、</w:t>
      </w:r>
      <w:r>
        <w:rPr>
          <w:rFonts w:ascii="黑体" w:hAnsi="黑体" w:eastAsia="黑体"/>
          <w:b/>
          <w:bCs/>
          <w:kern w:val="44"/>
          <w:sz w:val="28"/>
          <w:szCs w:val="28"/>
        </w:rPr>
        <w:t>主要内容</w:t>
      </w:r>
      <w:r>
        <w:rPr>
          <w:rFonts w:hint="eastAsia" w:ascii="黑体" w:hAnsi="黑体" w:eastAsia="黑体"/>
          <w:b/>
          <w:bCs/>
          <w:kern w:val="44"/>
          <w:sz w:val="28"/>
          <w:szCs w:val="28"/>
        </w:rPr>
        <w:t>及其确定</w:t>
      </w:r>
      <w:r>
        <w:rPr>
          <w:rFonts w:ascii="黑体" w:hAnsi="黑体" w:eastAsia="黑体"/>
          <w:b/>
          <w:bCs/>
          <w:kern w:val="44"/>
          <w:sz w:val="28"/>
          <w:szCs w:val="28"/>
        </w:rPr>
        <w:t>依据</w:t>
      </w:r>
    </w:p>
    <w:p w14:paraId="55EB9EB6">
      <w:pPr>
        <w:keepNext/>
        <w:keepLines/>
        <w:spacing w:before="156" w:beforeLines="50" w:after="156" w:afterLines="50" w:line="360" w:lineRule="auto"/>
        <w:outlineLvl w:val="1"/>
        <w:rPr>
          <w:rFonts w:asciiTheme="majorEastAsia" w:hAnsiTheme="majorEastAsia" w:eastAsiaTheme="majorEastAsia" w:cstheme="majorBidi"/>
          <w:b/>
          <w:bCs/>
          <w:sz w:val="24"/>
        </w:rPr>
      </w:pPr>
      <w:r>
        <w:rPr>
          <w:rFonts w:hint="eastAsia" w:asciiTheme="majorEastAsia" w:hAnsiTheme="majorEastAsia" w:eastAsiaTheme="majorEastAsia" w:cstheme="majorBidi"/>
          <w:b/>
          <w:bCs/>
          <w:sz w:val="24"/>
        </w:rPr>
        <w:t>1、标准框架</w:t>
      </w:r>
    </w:p>
    <w:p w14:paraId="4B349863">
      <w:pPr>
        <w:spacing w:line="360" w:lineRule="auto"/>
        <w:ind w:firstLine="480" w:firstLineChars="200"/>
        <w:rPr>
          <w:sz w:val="24"/>
        </w:rPr>
      </w:pPr>
      <w:r>
        <w:rPr>
          <w:rFonts w:hint="eastAsia"/>
          <w:sz w:val="24"/>
        </w:rPr>
        <w:t>结合行业调研情况与工作组意见，本标准按照修改采用的一致性程度进行起草。本标准主要技术内容及编排结构参照</w:t>
      </w:r>
      <w:r>
        <w:rPr>
          <w:sz w:val="24"/>
        </w:rPr>
        <w:t>ISO 21366-2019</w:t>
      </w:r>
      <w:r>
        <w:rPr>
          <w:rFonts w:hint="eastAsia"/>
          <w:sz w:val="24"/>
        </w:rPr>
        <w:t>，详见表</w:t>
      </w:r>
      <w:r>
        <w:rPr>
          <w:sz w:val="24"/>
        </w:rPr>
        <w:t>1</w:t>
      </w:r>
      <w:r>
        <w:rPr>
          <w:rFonts w:hint="eastAsia"/>
          <w:sz w:val="24"/>
        </w:rPr>
        <w:t>。</w:t>
      </w:r>
    </w:p>
    <w:p w14:paraId="3BC6F9DD">
      <w:pPr>
        <w:spacing w:line="360" w:lineRule="auto"/>
        <w:jc w:val="center"/>
        <w:rPr>
          <w:rFonts w:ascii="黑体" w:hAnsi="黑体" w:eastAsia="黑体"/>
          <w:sz w:val="24"/>
        </w:rPr>
      </w:pPr>
      <w:r>
        <w:rPr>
          <w:rFonts w:hint="eastAsia" w:ascii="黑体" w:hAnsi="黑体" w:eastAsia="黑体"/>
          <w:sz w:val="24"/>
        </w:rPr>
        <w:t>表</w:t>
      </w:r>
      <w:r>
        <w:rPr>
          <w:rFonts w:ascii="黑体" w:hAnsi="黑体" w:eastAsia="黑体"/>
          <w:sz w:val="24"/>
        </w:rPr>
        <w:t xml:space="preserve">1 </w:t>
      </w:r>
      <w:r>
        <w:rPr>
          <w:rFonts w:hint="eastAsia" w:ascii="黑体" w:hAnsi="黑体" w:eastAsia="黑体"/>
          <w:sz w:val="24"/>
        </w:rPr>
        <w:t>《艾灸仪 无烟检测技术》的框架</w:t>
      </w:r>
    </w:p>
    <w:tbl>
      <w:tblPr>
        <w:tblStyle w:val="14"/>
        <w:tblW w:w="937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7976"/>
      </w:tblGrid>
      <w:tr w14:paraId="37CA33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03" w:type="dxa"/>
            <w:tcBorders>
              <w:top w:val="single" w:color="auto" w:sz="12" w:space="0"/>
              <w:bottom w:val="single" w:color="auto" w:sz="12" w:space="0"/>
            </w:tcBorders>
            <w:vAlign w:val="center"/>
          </w:tcPr>
          <w:p w14:paraId="5B6C5C57">
            <w:pPr>
              <w:spacing w:line="300" w:lineRule="exact"/>
              <w:jc w:val="center"/>
              <w:rPr>
                <w:b/>
                <w:bCs/>
                <w:szCs w:val="21"/>
              </w:rPr>
            </w:pPr>
            <w:r>
              <w:rPr>
                <w:rFonts w:hint="eastAsia"/>
                <w:b/>
                <w:bCs/>
                <w:szCs w:val="21"/>
              </w:rPr>
              <w:t>章条编号</w:t>
            </w:r>
          </w:p>
        </w:tc>
        <w:tc>
          <w:tcPr>
            <w:tcW w:w="7976" w:type="dxa"/>
            <w:tcBorders>
              <w:top w:val="single" w:color="auto" w:sz="12" w:space="0"/>
              <w:bottom w:val="single" w:color="auto" w:sz="12" w:space="0"/>
            </w:tcBorders>
            <w:vAlign w:val="center"/>
          </w:tcPr>
          <w:p w14:paraId="671F5344">
            <w:pPr>
              <w:spacing w:line="300" w:lineRule="exact"/>
              <w:jc w:val="center"/>
              <w:rPr>
                <w:b/>
                <w:bCs/>
                <w:szCs w:val="21"/>
              </w:rPr>
            </w:pPr>
            <w:r>
              <w:rPr>
                <w:rFonts w:hint="eastAsia"/>
                <w:b/>
                <w:bCs/>
                <w:szCs w:val="21"/>
              </w:rPr>
              <w:t>标题</w:t>
            </w:r>
          </w:p>
        </w:tc>
      </w:tr>
      <w:tr w14:paraId="1325F0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03" w:type="dxa"/>
            <w:tcBorders>
              <w:top w:val="single" w:color="auto" w:sz="12" w:space="0"/>
            </w:tcBorders>
          </w:tcPr>
          <w:p w14:paraId="63262FCE">
            <w:pPr>
              <w:spacing w:line="300" w:lineRule="exact"/>
              <w:rPr>
                <w:szCs w:val="21"/>
              </w:rPr>
            </w:pPr>
            <w:r>
              <w:rPr>
                <w:rFonts w:hint="eastAsia"/>
                <w:sz w:val="24"/>
              </w:rPr>
              <w:t>1</w:t>
            </w:r>
          </w:p>
        </w:tc>
        <w:tc>
          <w:tcPr>
            <w:tcW w:w="7976" w:type="dxa"/>
            <w:tcBorders>
              <w:top w:val="single" w:color="auto" w:sz="12" w:space="0"/>
            </w:tcBorders>
          </w:tcPr>
          <w:p w14:paraId="4B04D32B">
            <w:pPr>
              <w:spacing w:line="300" w:lineRule="exact"/>
              <w:rPr>
                <w:szCs w:val="21"/>
              </w:rPr>
            </w:pPr>
            <w:r>
              <w:rPr>
                <w:rFonts w:hint="eastAsia"/>
                <w:sz w:val="24"/>
              </w:rPr>
              <w:t>范围</w:t>
            </w:r>
          </w:p>
        </w:tc>
      </w:tr>
      <w:tr w14:paraId="682552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03" w:type="dxa"/>
          </w:tcPr>
          <w:p w14:paraId="318B8DC6">
            <w:pPr>
              <w:spacing w:line="300" w:lineRule="exact"/>
              <w:rPr>
                <w:szCs w:val="21"/>
              </w:rPr>
            </w:pPr>
            <w:r>
              <w:rPr>
                <w:rFonts w:hint="eastAsia"/>
                <w:sz w:val="24"/>
              </w:rPr>
              <w:t>2</w:t>
            </w:r>
          </w:p>
        </w:tc>
        <w:tc>
          <w:tcPr>
            <w:tcW w:w="7976" w:type="dxa"/>
          </w:tcPr>
          <w:p w14:paraId="51CAB241">
            <w:pPr>
              <w:spacing w:line="300" w:lineRule="exact"/>
              <w:rPr>
                <w:szCs w:val="21"/>
              </w:rPr>
            </w:pPr>
            <w:r>
              <w:rPr>
                <w:rFonts w:hint="eastAsia"/>
                <w:sz w:val="24"/>
              </w:rPr>
              <w:t>规范性引用文件</w:t>
            </w:r>
          </w:p>
        </w:tc>
      </w:tr>
      <w:tr w14:paraId="59CED1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03" w:type="dxa"/>
          </w:tcPr>
          <w:p w14:paraId="7AE7B2CE">
            <w:pPr>
              <w:spacing w:line="300" w:lineRule="exact"/>
              <w:rPr>
                <w:szCs w:val="21"/>
              </w:rPr>
            </w:pPr>
            <w:r>
              <w:rPr>
                <w:rFonts w:hint="eastAsia"/>
                <w:sz w:val="24"/>
              </w:rPr>
              <w:t>3</w:t>
            </w:r>
          </w:p>
        </w:tc>
        <w:tc>
          <w:tcPr>
            <w:tcW w:w="7976" w:type="dxa"/>
          </w:tcPr>
          <w:p w14:paraId="25C38B96">
            <w:pPr>
              <w:spacing w:line="300" w:lineRule="exact"/>
              <w:rPr>
                <w:szCs w:val="21"/>
              </w:rPr>
            </w:pPr>
            <w:r>
              <w:rPr>
                <w:rFonts w:hint="eastAsia"/>
                <w:sz w:val="24"/>
              </w:rPr>
              <w:t>术语和定义</w:t>
            </w:r>
          </w:p>
        </w:tc>
      </w:tr>
      <w:tr w14:paraId="1C0320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03" w:type="dxa"/>
          </w:tcPr>
          <w:p w14:paraId="6E5A77E0">
            <w:pPr>
              <w:spacing w:line="300" w:lineRule="exact"/>
              <w:rPr>
                <w:szCs w:val="21"/>
              </w:rPr>
            </w:pPr>
            <w:r>
              <w:rPr>
                <w:rFonts w:hint="eastAsia"/>
                <w:sz w:val="24"/>
              </w:rPr>
              <w:t>4</w:t>
            </w:r>
          </w:p>
        </w:tc>
        <w:tc>
          <w:tcPr>
            <w:tcW w:w="7976" w:type="dxa"/>
          </w:tcPr>
          <w:p w14:paraId="1FB5C995">
            <w:pPr>
              <w:spacing w:line="300" w:lineRule="exact"/>
              <w:rPr>
                <w:szCs w:val="21"/>
              </w:rPr>
            </w:pPr>
            <w:r>
              <w:rPr>
                <w:rFonts w:hint="eastAsia"/>
                <w:sz w:val="24"/>
              </w:rPr>
              <w:t>无烟艾灸仪要求与测试方法</w:t>
            </w:r>
          </w:p>
        </w:tc>
      </w:tr>
      <w:tr w14:paraId="5FBA88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03" w:type="dxa"/>
          </w:tcPr>
          <w:p w14:paraId="3F09C552">
            <w:pPr>
              <w:spacing w:line="300" w:lineRule="exact"/>
              <w:ind w:left="145" w:leftChars="69"/>
              <w:rPr>
                <w:szCs w:val="21"/>
              </w:rPr>
            </w:pPr>
            <w:r>
              <w:rPr>
                <w:rFonts w:hint="eastAsia"/>
                <w:sz w:val="24"/>
              </w:rPr>
              <w:t>4.1</w:t>
            </w:r>
          </w:p>
        </w:tc>
        <w:tc>
          <w:tcPr>
            <w:tcW w:w="7976" w:type="dxa"/>
          </w:tcPr>
          <w:p w14:paraId="74E3BC45">
            <w:pPr>
              <w:spacing w:line="300" w:lineRule="exact"/>
              <w:rPr>
                <w:sz w:val="24"/>
              </w:rPr>
            </w:pPr>
            <w:r>
              <w:rPr>
                <w:rFonts w:hint="eastAsia"/>
                <w:sz w:val="24"/>
              </w:rPr>
              <w:t>概述</w:t>
            </w:r>
          </w:p>
        </w:tc>
      </w:tr>
      <w:tr w14:paraId="4C9D5C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03" w:type="dxa"/>
          </w:tcPr>
          <w:p w14:paraId="12256D22">
            <w:pPr>
              <w:spacing w:line="300" w:lineRule="exact"/>
              <w:ind w:left="145" w:leftChars="69"/>
              <w:rPr>
                <w:szCs w:val="21"/>
              </w:rPr>
            </w:pPr>
            <w:r>
              <w:rPr>
                <w:rFonts w:hint="eastAsia"/>
                <w:sz w:val="24"/>
              </w:rPr>
              <w:t>4.2</w:t>
            </w:r>
          </w:p>
        </w:tc>
        <w:tc>
          <w:tcPr>
            <w:tcW w:w="7976" w:type="dxa"/>
          </w:tcPr>
          <w:p w14:paraId="40D87F6D">
            <w:pPr>
              <w:spacing w:line="300" w:lineRule="exact"/>
              <w:rPr>
                <w:sz w:val="24"/>
              </w:rPr>
            </w:pPr>
            <w:r>
              <w:rPr>
                <w:rFonts w:hint="eastAsia"/>
                <w:sz w:val="24"/>
              </w:rPr>
              <w:t>烟密度测试</w:t>
            </w:r>
          </w:p>
        </w:tc>
      </w:tr>
      <w:tr w14:paraId="371A93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03" w:type="dxa"/>
          </w:tcPr>
          <w:p w14:paraId="4BFD1283">
            <w:pPr>
              <w:spacing w:line="300" w:lineRule="exact"/>
              <w:ind w:left="145" w:leftChars="69"/>
              <w:rPr>
                <w:szCs w:val="21"/>
              </w:rPr>
            </w:pPr>
            <w:r>
              <w:rPr>
                <w:rFonts w:hint="eastAsia"/>
                <w:sz w:val="24"/>
              </w:rPr>
              <w:t>4.3</w:t>
            </w:r>
          </w:p>
        </w:tc>
        <w:tc>
          <w:tcPr>
            <w:tcW w:w="7976" w:type="dxa"/>
          </w:tcPr>
          <w:p w14:paraId="46BC0BB9">
            <w:pPr>
              <w:spacing w:line="300" w:lineRule="exact"/>
              <w:rPr>
                <w:sz w:val="24"/>
              </w:rPr>
            </w:pPr>
            <w:r>
              <w:rPr>
                <w:rFonts w:hint="eastAsia"/>
                <w:sz w:val="24"/>
              </w:rPr>
              <w:t>产烟试验</w:t>
            </w:r>
          </w:p>
        </w:tc>
      </w:tr>
      <w:tr w14:paraId="678AAA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03" w:type="dxa"/>
          </w:tcPr>
          <w:p w14:paraId="11A3C50F">
            <w:pPr>
              <w:spacing w:line="300" w:lineRule="exact"/>
              <w:rPr>
                <w:szCs w:val="21"/>
              </w:rPr>
            </w:pPr>
            <w:r>
              <w:rPr>
                <w:rFonts w:hint="eastAsia"/>
                <w:sz w:val="24"/>
              </w:rPr>
              <w:t>5</w:t>
            </w:r>
          </w:p>
        </w:tc>
        <w:tc>
          <w:tcPr>
            <w:tcW w:w="7976" w:type="dxa"/>
          </w:tcPr>
          <w:p w14:paraId="52CB97C8">
            <w:pPr>
              <w:spacing w:line="300" w:lineRule="exact"/>
              <w:rPr>
                <w:sz w:val="24"/>
              </w:rPr>
            </w:pPr>
            <w:r>
              <w:rPr>
                <w:rFonts w:hint="eastAsia"/>
                <w:sz w:val="24"/>
              </w:rPr>
              <w:t>安全要求</w:t>
            </w:r>
          </w:p>
        </w:tc>
      </w:tr>
      <w:tr w14:paraId="232E4E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03" w:type="dxa"/>
          </w:tcPr>
          <w:p w14:paraId="4DBBB7FB">
            <w:pPr>
              <w:spacing w:line="300" w:lineRule="exact"/>
              <w:ind w:left="145" w:leftChars="69"/>
              <w:rPr>
                <w:szCs w:val="21"/>
              </w:rPr>
            </w:pPr>
            <w:r>
              <w:rPr>
                <w:rFonts w:hint="eastAsia"/>
                <w:sz w:val="24"/>
              </w:rPr>
              <w:t>5.1</w:t>
            </w:r>
          </w:p>
        </w:tc>
        <w:tc>
          <w:tcPr>
            <w:tcW w:w="7976" w:type="dxa"/>
          </w:tcPr>
          <w:p w14:paraId="358DFCF7">
            <w:pPr>
              <w:spacing w:line="300" w:lineRule="exact"/>
              <w:rPr>
                <w:sz w:val="24"/>
              </w:rPr>
            </w:pPr>
            <w:r>
              <w:rPr>
                <w:rFonts w:hint="eastAsia"/>
                <w:sz w:val="24"/>
              </w:rPr>
              <w:t>有毒气体</w:t>
            </w:r>
          </w:p>
        </w:tc>
      </w:tr>
      <w:tr w14:paraId="111223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03" w:type="dxa"/>
          </w:tcPr>
          <w:p w14:paraId="4298659F">
            <w:pPr>
              <w:spacing w:line="300" w:lineRule="exact"/>
              <w:ind w:left="145" w:leftChars="69"/>
              <w:rPr>
                <w:szCs w:val="21"/>
              </w:rPr>
            </w:pPr>
            <w:r>
              <w:rPr>
                <w:rFonts w:hint="eastAsia"/>
                <w:sz w:val="24"/>
              </w:rPr>
              <w:t>5.2</w:t>
            </w:r>
          </w:p>
        </w:tc>
        <w:tc>
          <w:tcPr>
            <w:tcW w:w="7976" w:type="dxa"/>
          </w:tcPr>
          <w:p w14:paraId="6B7F6352">
            <w:pPr>
              <w:spacing w:line="300" w:lineRule="exact"/>
              <w:rPr>
                <w:sz w:val="24"/>
              </w:rPr>
            </w:pPr>
            <w:r>
              <w:rPr>
                <w:rFonts w:hint="eastAsia"/>
                <w:sz w:val="24"/>
              </w:rPr>
              <w:t>艾灸温度</w:t>
            </w:r>
          </w:p>
        </w:tc>
      </w:tr>
      <w:tr w14:paraId="427BEA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03" w:type="dxa"/>
          </w:tcPr>
          <w:p w14:paraId="7FE794F9">
            <w:pPr>
              <w:spacing w:line="300" w:lineRule="exact"/>
              <w:ind w:left="145" w:leftChars="69"/>
              <w:rPr>
                <w:szCs w:val="21"/>
              </w:rPr>
            </w:pPr>
            <w:r>
              <w:rPr>
                <w:rFonts w:hint="eastAsia"/>
                <w:sz w:val="24"/>
              </w:rPr>
              <w:t>5.3</w:t>
            </w:r>
          </w:p>
        </w:tc>
        <w:tc>
          <w:tcPr>
            <w:tcW w:w="7976" w:type="dxa"/>
          </w:tcPr>
          <w:p w14:paraId="724B0140">
            <w:pPr>
              <w:spacing w:line="300" w:lineRule="exact"/>
              <w:rPr>
                <w:sz w:val="24"/>
              </w:rPr>
            </w:pPr>
            <w:r>
              <w:rPr>
                <w:rFonts w:hint="eastAsia"/>
                <w:sz w:val="24"/>
              </w:rPr>
              <w:t>设备材料</w:t>
            </w:r>
          </w:p>
        </w:tc>
      </w:tr>
      <w:tr w14:paraId="201CB0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03" w:type="dxa"/>
          </w:tcPr>
          <w:p w14:paraId="26E268F6">
            <w:pPr>
              <w:spacing w:line="300" w:lineRule="exact"/>
              <w:rPr>
                <w:szCs w:val="21"/>
              </w:rPr>
            </w:pPr>
            <w:r>
              <w:rPr>
                <w:rFonts w:hint="eastAsia"/>
                <w:sz w:val="24"/>
              </w:rPr>
              <w:t>6</w:t>
            </w:r>
          </w:p>
        </w:tc>
        <w:tc>
          <w:tcPr>
            <w:tcW w:w="7976" w:type="dxa"/>
          </w:tcPr>
          <w:p w14:paraId="56E16641">
            <w:pPr>
              <w:spacing w:line="300" w:lineRule="exact"/>
              <w:rPr>
                <w:sz w:val="24"/>
              </w:rPr>
            </w:pPr>
            <w:r>
              <w:rPr>
                <w:rFonts w:hint="eastAsia"/>
                <w:sz w:val="24"/>
              </w:rPr>
              <w:t>包装和标签要求</w:t>
            </w:r>
          </w:p>
        </w:tc>
      </w:tr>
      <w:tr w14:paraId="228356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03" w:type="dxa"/>
          </w:tcPr>
          <w:p w14:paraId="07BED0E6">
            <w:pPr>
              <w:spacing w:line="300" w:lineRule="exact"/>
              <w:ind w:left="145" w:leftChars="69"/>
              <w:rPr>
                <w:szCs w:val="21"/>
              </w:rPr>
            </w:pPr>
            <w:r>
              <w:rPr>
                <w:rFonts w:hint="eastAsia"/>
                <w:sz w:val="24"/>
              </w:rPr>
              <w:t>6.1</w:t>
            </w:r>
          </w:p>
        </w:tc>
        <w:tc>
          <w:tcPr>
            <w:tcW w:w="7976" w:type="dxa"/>
          </w:tcPr>
          <w:p w14:paraId="3E60CC1D">
            <w:pPr>
              <w:spacing w:line="300" w:lineRule="exact"/>
              <w:rPr>
                <w:sz w:val="24"/>
              </w:rPr>
            </w:pPr>
            <w:r>
              <w:rPr>
                <w:rFonts w:hint="eastAsia"/>
                <w:sz w:val="24"/>
              </w:rPr>
              <w:t>概述</w:t>
            </w:r>
          </w:p>
        </w:tc>
      </w:tr>
      <w:tr w14:paraId="04CD08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03" w:type="dxa"/>
          </w:tcPr>
          <w:p w14:paraId="238A9D3A">
            <w:pPr>
              <w:spacing w:line="300" w:lineRule="exact"/>
              <w:ind w:left="145" w:leftChars="69"/>
              <w:rPr>
                <w:szCs w:val="21"/>
              </w:rPr>
            </w:pPr>
            <w:r>
              <w:rPr>
                <w:rFonts w:hint="eastAsia"/>
                <w:sz w:val="24"/>
              </w:rPr>
              <w:t>6.2</w:t>
            </w:r>
          </w:p>
        </w:tc>
        <w:tc>
          <w:tcPr>
            <w:tcW w:w="7976" w:type="dxa"/>
          </w:tcPr>
          <w:p w14:paraId="17BE90FD">
            <w:pPr>
              <w:spacing w:line="300" w:lineRule="exact"/>
              <w:rPr>
                <w:sz w:val="24"/>
              </w:rPr>
            </w:pPr>
            <w:r>
              <w:rPr>
                <w:rFonts w:hint="eastAsia"/>
                <w:sz w:val="24"/>
              </w:rPr>
              <w:t>无烟声明</w:t>
            </w:r>
          </w:p>
        </w:tc>
      </w:tr>
      <w:tr w14:paraId="778CFF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03" w:type="dxa"/>
          </w:tcPr>
          <w:p w14:paraId="48C69214">
            <w:pPr>
              <w:spacing w:line="300" w:lineRule="exact"/>
              <w:ind w:left="145" w:leftChars="69"/>
              <w:rPr>
                <w:szCs w:val="21"/>
              </w:rPr>
            </w:pPr>
            <w:r>
              <w:rPr>
                <w:rFonts w:hint="eastAsia"/>
                <w:sz w:val="24"/>
              </w:rPr>
              <w:t>6.3</w:t>
            </w:r>
          </w:p>
        </w:tc>
        <w:tc>
          <w:tcPr>
            <w:tcW w:w="7976" w:type="dxa"/>
          </w:tcPr>
          <w:p w14:paraId="04DEEF3F">
            <w:pPr>
              <w:spacing w:line="300" w:lineRule="exact"/>
              <w:rPr>
                <w:szCs w:val="21"/>
              </w:rPr>
            </w:pPr>
            <w:r>
              <w:rPr>
                <w:rFonts w:hint="eastAsia"/>
                <w:sz w:val="24"/>
              </w:rPr>
              <w:t>产品包装</w:t>
            </w:r>
          </w:p>
        </w:tc>
      </w:tr>
      <w:tr w14:paraId="7256BE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03" w:type="dxa"/>
          </w:tcPr>
          <w:p w14:paraId="7733CE5C">
            <w:pPr>
              <w:spacing w:line="300" w:lineRule="exact"/>
              <w:rPr>
                <w:szCs w:val="21"/>
              </w:rPr>
            </w:pPr>
            <w:r>
              <w:rPr>
                <w:rFonts w:hint="eastAsia"/>
                <w:sz w:val="24"/>
              </w:rPr>
              <w:t>附录A</w:t>
            </w:r>
          </w:p>
        </w:tc>
        <w:tc>
          <w:tcPr>
            <w:tcW w:w="7976" w:type="dxa"/>
          </w:tcPr>
          <w:p w14:paraId="1980840E">
            <w:pPr>
              <w:spacing w:line="300" w:lineRule="exact"/>
              <w:rPr>
                <w:szCs w:val="21"/>
              </w:rPr>
            </w:pPr>
            <w:r>
              <w:rPr>
                <w:rFonts w:hint="eastAsia"/>
                <w:sz w:val="24"/>
              </w:rPr>
              <w:t>室内空气质量标准</w:t>
            </w:r>
          </w:p>
        </w:tc>
      </w:tr>
      <w:tr w14:paraId="72AC78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03" w:type="dxa"/>
          </w:tcPr>
          <w:p w14:paraId="04D5A99C">
            <w:pPr>
              <w:spacing w:line="300" w:lineRule="exact"/>
              <w:rPr>
                <w:szCs w:val="21"/>
              </w:rPr>
            </w:pPr>
            <w:r>
              <w:rPr>
                <w:rFonts w:hint="eastAsia"/>
                <w:sz w:val="24"/>
              </w:rPr>
              <w:t>附录B</w:t>
            </w:r>
          </w:p>
        </w:tc>
        <w:tc>
          <w:tcPr>
            <w:tcW w:w="7976" w:type="dxa"/>
          </w:tcPr>
          <w:p w14:paraId="13D87927">
            <w:pPr>
              <w:spacing w:line="300" w:lineRule="exact"/>
              <w:rPr>
                <w:szCs w:val="21"/>
              </w:rPr>
            </w:pPr>
            <w:r>
              <w:rPr>
                <w:rFonts w:hint="eastAsia"/>
                <w:sz w:val="24"/>
              </w:rPr>
              <w:t>艾烟密度测量的试验方法</w:t>
            </w:r>
          </w:p>
        </w:tc>
      </w:tr>
      <w:tr w14:paraId="349060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403" w:type="dxa"/>
          </w:tcPr>
          <w:p w14:paraId="5D96B9B5">
            <w:pPr>
              <w:spacing w:line="300" w:lineRule="exact"/>
              <w:rPr>
                <w:szCs w:val="21"/>
              </w:rPr>
            </w:pPr>
            <w:r>
              <w:rPr>
                <w:rFonts w:hint="eastAsia"/>
                <w:sz w:val="24"/>
              </w:rPr>
              <w:t>附录C</w:t>
            </w:r>
          </w:p>
        </w:tc>
        <w:tc>
          <w:tcPr>
            <w:tcW w:w="7976" w:type="dxa"/>
          </w:tcPr>
          <w:p w14:paraId="7A5F496A">
            <w:pPr>
              <w:spacing w:line="300" w:lineRule="exact"/>
              <w:rPr>
                <w:szCs w:val="21"/>
              </w:rPr>
            </w:pPr>
            <w:r>
              <w:rPr>
                <w:rFonts w:hint="eastAsia"/>
                <w:sz w:val="24"/>
              </w:rPr>
              <w:t>艾烟产生的试验方法</w:t>
            </w:r>
          </w:p>
        </w:tc>
      </w:tr>
    </w:tbl>
    <w:p w14:paraId="5F08602E">
      <w:pPr>
        <w:keepNext/>
        <w:keepLines/>
        <w:spacing w:before="156" w:beforeLines="50" w:after="156" w:afterLines="50" w:line="360" w:lineRule="auto"/>
        <w:outlineLvl w:val="1"/>
        <w:rPr>
          <w:rFonts w:asciiTheme="majorEastAsia" w:hAnsiTheme="majorEastAsia" w:eastAsiaTheme="majorEastAsia" w:cstheme="majorBidi"/>
          <w:b/>
          <w:bCs/>
          <w:sz w:val="24"/>
        </w:rPr>
      </w:pPr>
      <w:r>
        <w:rPr>
          <w:rFonts w:asciiTheme="majorEastAsia" w:hAnsiTheme="majorEastAsia" w:eastAsiaTheme="majorEastAsia" w:cstheme="majorBidi"/>
          <w:b/>
          <w:bCs/>
          <w:sz w:val="24"/>
        </w:rPr>
        <w:t>2</w:t>
      </w:r>
      <w:r>
        <w:rPr>
          <w:rFonts w:hint="eastAsia" w:asciiTheme="majorEastAsia" w:hAnsiTheme="majorEastAsia" w:eastAsiaTheme="majorEastAsia" w:cstheme="majorBidi"/>
          <w:b/>
          <w:bCs/>
          <w:sz w:val="24"/>
        </w:rPr>
        <w:t>、规范性引用文件的改写</w:t>
      </w:r>
    </w:p>
    <w:p w14:paraId="0F20EEF7">
      <w:pPr>
        <w:spacing w:line="360" w:lineRule="auto"/>
        <w:ind w:firstLine="480" w:firstLineChars="200"/>
        <w:rPr>
          <w:rFonts w:hint="eastAsia"/>
          <w:sz w:val="24"/>
        </w:rPr>
      </w:pPr>
      <w:r>
        <w:rPr>
          <w:rFonts w:hint="eastAsia"/>
          <w:sz w:val="24"/>
        </w:rPr>
        <w:t>本标准的源ISO标准中规范性引用了多个ISO标准。在采标过程中，我们将其中5项改写为采用相应ISO标准的国家标准，详见表2。另有4个ISO文件暂无相应采标的国家标准，其中3项国际标准保留原标准编号；1个</w:t>
      </w:r>
      <w:r>
        <w:rPr>
          <w:rFonts w:ascii="黑体" w:hAnsi="黑体" w:eastAsia="黑体"/>
          <w:sz w:val="24"/>
        </w:rPr>
        <w:t>ISO/TR 7240-9: 2022</w:t>
      </w:r>
      <w:r>
        <w:rPr>
          <w:rFonts w:hint="eastAsia"/>
          <w:sz w:val="24"/>
        </w:rPr>
        <w:t>为ISO技术报告，不属于规范性文件，故移至参考文献。</w:t>
      </w:r>
    </w:p>
    <w:p w14:paraId="6E998ACD">
      <w:pPr>
        <w:spacing w:line="360" w:lineRule="auto"/>
        <w:jc w:val="center"/>
        <w:rPr>
          <w:rFonts w:hint="eastAsia" w:ascii="黑体" w:hAnsi="黑体" w:eastAsia="黑体"/>
          <w:sz w:val="24"/>
        </w:rPr>
      </w:pPr>
      <w:r>
        <w:rPr>
          <w:rFonts w:hint="eastAsia" w:ascii="黑体" w:hAnsi="黑体" w:eastAsia="黑体"/>
          <w:sz w:val="24"/>
        </w:rPr>
        <w:t>表2</w:t>
      </w:r>
      <w:r>
        <w:rPr>
          <w:rFonts w:ascii="黑体" w:hAnsi="黑体" w:eastAsia="黑体"/>
          <w:sz w:val="24"/>
        </w:rPr>
        <w:t xml:space="preserve"> </w:t>
      </w:r>
      <w:r>
        <w:rPr>
          <w:rFonts w:hint="eastAsia"/>
          <w:sz w:val="24"/>
        </w:rPr>
        <w:t>采用相应ISO标准的国家标准</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2"/>
        <w:gridCol w:w="2142"/>
        <w:gridCol w:w="5324"/>
      </w:tblGrid>
      <w:tr w14:paraId="69656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2" w:type="dxa"/>
          </w:tcPr>
          <w:p w14:paraId="033D3C3B">
            <w:pPr>
              <w:spacing w:line="360" w:lineRule="auto"/>
              <w:jc w:val="center"/>
              <w:rPr>
                <w:rFonts w:hint="eastAsia" w:ascii="黑体" w:hAnsi="黑体" w:eastAsia="黑体"/>
                <w:sz w:val="24"/>
              </w:rPr>
            </w:pPr>
            <w:r>
              <w:rPr>
                <w:rFonts w:hint="eastAsia" w:ascii="黑体" w:hAnsi="黑体" w:eastAsia="黑体"/>
                <w:sz w:val="24"/>
              </w:rPr>
              <w:t>国家标准编号</w:t>
            </w:r>
          </w:p>
        </w:tc>
        <w:tc>
          <w:tcPr>
            <w:tcW w:w="2142" w:type="dxa"/>
          </w:tcPr>
          <w:p w14:paraId="5F3C65AB">
            <w:pPr>
              <w:spacing w:line="360" w:lineRule="auto"/>
              <w:jc w:val="center"/>
              <w:rPr>
                <w:rFonts w:hint="eastAsia" w:ascii="黑体" w:hAnsi="黑体" w:eastAsia="黑体"/>
                <w:sz w:val="24"/>
              </w:rPr>
            </w:pPr>
            <w:r>
              <w:rPr>
                <w:rFonts w:hint="eastAsia" w:ascii="黑体" w:hAnsi="黑体" w:eastAsia="黑体"/>
                <w:sz w:val="24"/>
              </w:rPr>
              <w:t>ISO标准编号</w:t>
            </w:r>
          </w:p>
        </w:tc>
        <w:tc>
          <w:tcPr>
            <w:tcW w:w="5324" w:type="dxa"/>
          </w:tcPr>
          <w:p w14:paraId="2B1540D8">
            <w:pPr>
              <w:spacing w:line="360" w:lineRule="auto"/>
              <w:jc w:val="center"/>
              <w:rPr>
                <w:rFonts w:hint="eastAsia" w:ascii="黑体" w:hAnsi="黑体" w:eastAsia="黑体"/>
                <w:sz w:val="24"/>
              </w:rPr>
            </w:pPr>
            <w:r>
              <w:rPr>
                <w:rFonts w:hint="eastAsia" w:ascii="黑体" w:hAnsi="黑体" w:eastAsia="黑体"/>
                <w:sz w:val="24"/>
              </w:rPr>
              <w:t>标准名称</w:t>
            </w:r>
          </w:p>
        </w:tc>
      </w:tr>
      <w:tr w14:paraId="67315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2" w:type="dxa"/>
          </w:tcPr>
          <w:p w14:paraId="2C691EFE">
            <w:pPr>
              <w:spacing w:line="360" w:lineRule="auto"/>
              <w:rPr>
                <w:rFonts w:hint="eastAsia"/>
                <w:sz w:val="24"/>
              </w:rPr>
            </w:pPr>
            <w:r>
              <w:rPr>
                <w:rFonts w:hint="eastAsia"/>
                <w:sz w:val="24"/>
              </w:rPr>
              <w:t>GB/T 4857.5</w:t>
            </w:r>
          </w:p>
        </w:tc>
        <w:tc>
          <w:tcPr>
            <w:tcW w:w="2142" w:type="dxa"/>
          </w:tcPr>
          <w:p w14:paraId="1BD7E40D">
            <w:pPr>
              <w:spacing w:line="360" w:lineRule="auto"/>
              <w:rPr>
                <w:rFonts w:hint="eastAsia"/>
                <w:sz w:val="24"/>
              </w:rPr>
            </w:pPr>
            <w:r>
              <w:rPr>
                <w:rFonts w:hint="eastAsia"/>
                <w:sz w:val="24"/>
              </w:rPr>
              <w:t>ISO 2248</w:t>
            </w:r>
          </w:p>
        </w:tc>
        <w:tc>
          <w:tcPr>
            <w:tcW w:w="5324" w:type="dxa"/>
          </w:tcPr>
          <w:p w14:paraId="57D6D189">
            <w:pPr>
              <w:spacing w:line="360" w:lineRule="auto"/>
              <w:rPr>
                <w:rFonts w:hint="eastAsia"/>
                <w:sz w:val="24"/>
              </w:rPr>
            </w:pPr>
            <w:r>
              <w:rPr>
                <w:rFonts w:hint="eastAsia"/>
                <w:sz w:val="24"/>
              </w:rPr>
              <w:t>包装 运输包装件 跌落试验方法</w:t>
            </w:r>
          </w:p>
        </w:tc>
      </w:tr>
      <w:tr w14:paraId="0C7FD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2" w:type="dxa"/>
          </w:tcPr>
          <w:p w14:paraId="6B003890">
            <w:pPr>
              <w:spacing w:line="360" w:lineRule="auto"/>
              <w:rPr>
                <w:rFonts w:hint="eastAsia"/>
                <w:sz w:val="24"/>
              </w:rPr>
            </w:pPr>
            <w:r>
              <w:rPr>
                <w:rFonts w:hint="eastAsia"/>
                <w:sz w:val="24"/>
              </w:rPr>
              <w:t>GB/T 8323.2-2008</w:t>
            </w:r>
          </w:p>
        </w:tc>
        <w:tc>
          <w:tcPr>
            <w:tcW w:w="2142" w:type="dxa"/>
          </w:tcPr>
          <w:p w14:paraId="7C2DB6AA">
            <w:pPr>
              <w:spacing w:line="360" w:lineRule="auto"/>
              <w:rPr>
                <w:rFonts w:hint="eastAsia"/>
                <w:sz w:val="24"/>
              </w:rPr>
            </w:pPr>
            <w:r>
              <w:rPr>
                <w:rFonts w:hint="eastAsia"/>
                <w:sz w:val="24"/>
              </w:rPr>
              <w:t>ISO 5659-2:2017</w:t>
            </w:r>
          </w:p>
        </w:tc>
        <w:tc>
          <w:tcPr>
            <w:tcW w:w="5324" w:type="dxa"/>
          </w:tcPr>
          <w:p w14:paraId="0286E806">
            <w:pPr>
              <w:spacing w:line="360" w:lineRule="auto"/>
              <w:rPr>
                <w:rFonts w:hint="eastAsia"/>
                <w:sz w:val="24"/>
              </w:rPr>
            </w:pPr>
            <w:r>
              <w:rPr>
                <w:rFonts w:hint="eastAsia"/>
                <w:sz w:val="24"/>
              </w:rPr>
              <w:t>塑料 烟生成 第2部分：单室法测定烟密度试验方法</w:t>
            </w:r>
          </w:p>
        </w:tc>
      </w:tr>
      <w:tr w14:paraId="25307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2" w:type="dxa"/>
          </w:tcPr>
          <w:p w14:paraId="205FC2F3">
            <w:pPr>
              <w:spacing w:line="360" w:lineRule="auto"/>
              <w:rPr>
                <w:rFonts w:hint="eastAsia"/>
                <w:sz w:val="24"/>
              </w:rPr>
            </w:pPr>
            <w:r>
              <w:rPr>
                <w:rFonts w:hint="eastAsia"/>
                <w:sz w:val="24"/>
              </w:rPr>
              <w:t>GB 4717-2005</w:t>
            </w:r>
          </w:p>
        </w:tc>
        <w:tc>
          <w:tcPr>
            <w:tcW w:w="2142" w:type="dxa"/>
          </w:tcPr>
          <w:p w14:paraId="36807442">
            <w:pPr>
              <w:spacing w:line="360" w:lineRule="auto"/>
              <w:rPr>
                <w:rFonts w:hint="eastAsia"/>
                <w:sz w:val="24"/>
              </w:rPr>
            </w:pPr>
            <w:r>
              <w:rPr>
                <w:rFonts w:hint="eastAsia"/>
                <w:sz w:val="24"/>
              </w:rPr>
              <w:t>ISO 7240-2</w:t>
            </w:r>
          </w:p>
        </w:tc>
        <w:tc>
          <w:tcPr>
            <w:tcW w:w="5324" w:type="dxa"/>
          </w:tcPr>
          <w:p w14:paraId="14C6AEE6">
            <w:pPr>
              <w:spacing w:line="360" w:lineRule="auto"/>
              <w:rPr>
                <w:rFonts w:hint="eastAsia"/>
                <w:sz w:val="24"/>
              </w:rPr>
            </w:pPr>
            <w:r>
              <w:rPr>
                <w:rFonts w:hint="eastAsia"/>
                <w:sz w:val="24"/>
              </w:rPr>
              <w:t>火灾报警控制器</w:t>
            </w:r>
          </w:p>
        </w:tc>
      </w:tr>
      <w:tr w14:paraId="5DDE3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2" w:type="dxa"/>
          </w:tcPr>
          <w:p w14:paraId="4EFF8F5F">
            <w:pPr>
              <w:spacing w:line="360" w:lineRule="auto"/>
              <w:rPr>
                <w:rFonts w:hint="eastAsia"/>
                <w:sz w:val="24"/>
              </w:rPr>
            </w:pPr>
            <w:r>
              <w:rPr>
                <w:rFonts w:hint="eastAsia"/>
                <w:sz w:val="24"/>
              </w:rPr>
              <w:t>GB 4715-2005</w:t>
            </w:r>
          </w:p>
        </w:tc>
        <w:tc>
          <w:tcPr>
            <w:tcW w:w="2142" w:type="dxa"/>
          </w:tcPr>
          <w:p w14:paraId="7BF6AED9">
            <w:pPr>
              <w:spacing w:line="360" w:lineRule="auto"/>
              <w:rPr>
                <w:rFonts w:hint="eastAsia"/>
                <w:sz w:val="24"/>
              </w:rPr>
            </w:pPr>
            <w:r>
              <w:rPr>
                <w:rFonts w:hint="eastAsia"/>
                <w:sz w:val="24"/>
              </w:rPr>
              <w:t>ISO 7240-7:2018</w:t>
            </w:r>
          </w:p>
        </w:tc>
        <w:tc>
          <w:tcPr>
            <w:tcW w:w="5324" w:type="dxa"/>
          </w:tcPr>
          <w:p w14:paraId="3D2C0C3C">
            <w:pPr>
              <w:spacing w:line="360" w:lineRule="auto"/>
              <w:rPr>
                <w:rFonts w:hint="eastAsia"/>
                <w:sz w:val="24"/>
              </w:rPr>
            </w:pPr>
            <w:r>
              <w:rPr>
                <w:rFonts w:hint="eastAsia"/>
                <w:sz w:val="24"/>
              </w:rPr>
              <w:t>点型感烟火灾探测器</w:t>
            </w:r>
          </w:p>
        </w:tc>
      </w:tr>
      <w:tr w14:paraId="4ED56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2" w:type="dxa"/>
          </w:tcPr>
          <w:p w14:paraId="320AD365">
            <w:pPr>
              <w:spacing w:line="360" w:lineRule="auto"/>
              <w:rPr>
                <w:rFonts w:hint="eastAsia"/>
                <w:sz w:val="24"/>
              </w:rPr>
            </w:pPr>
            <w:r>
              <w:rPr>
                <w:rFonts w:hint="eastAsia"/>
                <w:sz w:val="24"/>
              </w:rPr>
              <w:t>GB/T 43905.2-2024</w:t>
            </w:r>
          </w:p>
        </w:tc>
        <w:tc>
          <w:tcPr>
            <w:tcW w:w="2142" w:type="dxa"/>
          </w:tcPr>
          <w:p w14:paraId="7FA2AF39">
            <w:pPr>
              <w:spacing w:line="360" w:lineRule="auto"/>
              <w:rPr>
                <w:rFonts w:hint="eastAsia"/>
                <w:sz w:val="24"/>
              </w:rPr>
            </w:pPr>
            <w:r>
              <w:rPr>
                <w:rFonts w:hint="eastAsia"/>
                <w:sz w:val="24"/>
              </w:rPr>
              <w:t>ISO 15011-2</w:t>
            </w:r>
          </w:p>
        </w:tc>
        <w:tc>
          <w:tcPr>
            <w:tcW w:w="5324" w:type="dxa"/>
          </w:tcPr>
          <w:p w14:paraId="645C9538">
            <w:pPr>
              <w:spacing w:line="360" w:lineRule="auto"/>
              <w:rPr>
                <w:rFonts w:hint="eastAsia"/>
                <w:sz w:val="24"/>
              </w:rPr>
            </w:pPr>
            <w:r>
              <w:rPr>
                <w:rFonts w:hint="eastAsia"/>
                <w:sz w:val="24"/>
              </w:rPr>
              <w:t>焊接及相关工艺中烟尘和气体取样的实验室方法　第2部分：电弧焊、切割及气刨中一氧化碳、二氧化碳、一氧化氮、二氧化氮排放速率的测定</w:t>
            </w:r>
          </w:p>
        </w:tc>
      </w:tr>
    </w:tbl>
    <w:p w14:paraId="066D0B51">
      <w:pPr>
        <w:jc w:val="center"/>
        <w:rPr>
          <w:rFonts w:ascii="黑体" w:hAnsi="黑体" w:eastAsia="黑体"/>
          <w:sz w:val="24"/>
        </w:rPr>
      </w:pPr>
    </w:p>
    <w:p w14:paraId="3530AB4D">
      <w:pPr>
        <w:jc w:val="center"/>
      </w:pPr>
      <w:r>
        <w:rPr>
          <w:rFonts w:hint="eastAsia" w:ascii="黑体" w:hAnsi="黑体" w:eastAsia="黑体"/>
          <w:sz w:val="24"/>
        </w:rPr>
        <w:t>表</w:t>
      </w:r>
      <w:r>
        <w:rPr>
          <w:rFonts w:ascii="黑体" w:hAnsi="黑体" w:eastAsia="黑体"/>
          <w:sz w:val="24"/>
        </w:rPr>
        <w:t xml:space="preserve">3 </w:t>
      </w:r>
      <w:r>
        <w:rPr>
          <w:rFonts w:hint="eastAsia" w:ascii="黑体" w:hAnsi="黑体" w:eastAsia="黑体"/>
          <w:sz w:val="24"/>
        </w:rPr>
        <w:t>保留原标准号的</w:t>
      </w:r>
      <w:r>
        <w:rPr>
          <w:rFonts w:hint="eastAsia"/>
          <w:sz w:val="24"/>
        </w:rPr>
        <w:t>ISO标准</w:t>
      </w:r>
    </w:p>
    <w:tbl>
      <w:tblPr>
        <w:tblStyle w:val="14"/>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2"/>
        <w:gridCol w:w="7209"/>
      </w:tblGrid>
      <w:tr w14:paraId="6CB8E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tcPr>
          <w:p w14:paraId="78F2B21C">
            <w:pPr>
              <w:spacing w:line="360" w:lineRule="auto"/>
              <w:jc w:val="center"/>
              <w:rPr>
                <w:rFonts w:hint="eastAsia" w:ascii="黑体" w:hAnsi="黑体" w:eastAsia="黑体"/>
                <w:sz w:val="24"/>
              </w:rPr>
            </w:pPr>
            <w:r>
              <w:rPr>
                <w:rFonts w:hint="eastAsia" w:ascii="黑体" w:hAnsi="黑体" w:eastAsia="黑体"/>
                <w:sz w:val="24"/>
              </w:rPr>
              <w:t>标准编号</w:t>
            </w:r>
          </w:p>
        </w:tc>
        <w:tc>
          <w:tcPr>
            <w:tcW w:w="7209" w:type="dxa"/>
          </w:tcPr>
          <w:p w14:paraId="11A7C839">
            <w:pPr>
              <w:spacing w:line="360" w:lineRule="auto"/>
              <w:jc w:val="center"/>
              <w:rPr>
                <w:rFonts w:hint="eastAsia" w:ascii="黑体" w:hAnsi="黑体" w:eastAsia="黑体"/>
                <w:sz w:val="24"/>
              </w:rPr>
            </w:pPr>
            <w:r>
              <w:rPr>
                <w:rFonts w:hint="eastAsia" w:ascii="黑体" w:hAnsi="黑体" w:eastAsia="黑体"/>
                <w:sz w:val="24"/>
              </w:rPr>
              <w:t>标准名称[中（英）]</w:t>
            </w:r>
          </w:p>
        </w:tc>
      </w:tr>
      <w:tr w14:paraId="58C0D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tcPr>
          <w:p w14:paraId="0633F391">
            <w:pPr>
              <w:spacing w:line="360" w:lineRule="auto"/>
              <w:rPr>
                <w:rFonts w:hint="eastAsia"/>
                <w:sz w:val="24"/>
              </w:rPr>
            </w:pPr>
            <w:r>
              <w:rPr>
                <w:rFonts w:hint="eastAsia"/>
                <w:sz w:val="24"/>
              </w:rPr>
              <w:t>ISO 16000-4：2011</w:t>
            </w:r>
          </w:p>
        </w:tc>
        <w:tc>
          <w:tcPr>
            <w:tcW w:w="7209" w:type="dxa"/>
          </w:tcPr>
          <w:p w14:paraId="5EE6D687">
            <w:pPr>
              <w:spacing w:line="360" w:lineRule="auto"/>
              <w:rPr>
                <w:rFonts w:hint="eastAsia"/>
                <w:sz w:val="24"/>
              </w:rPr>
            </w:pPr>
            <w:r>
              <w:rPr>
                <w:rFonts w:hint="eastAsia"/>
                <w:sz w:val="24"/>
              </w:rPr>
              <w:t>室内空气－第4部分：甲醛的测定－散布性采样法（Indoor air - Part 4: Determination of formaldehyde - Diffusive sampling method）</w:t>
            </w:r>
          </w:p>
        </w:tc>
      </w:tr>
      <w:tr w14:paraId="3A9AD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tcPr>
          <w:p w14:paraId="197286D5">
            <w:pPr>
              <w:spacing w:line="360" w:lineRule="auto"/>
              <w:rPr>
                <w:rFonts w:hint="eastAsia"/>
                <w:sz w:val="24"/>
              </w:rPr>
            </w:pPr>
            <w:r>
              <w:rPr>
                <w:rFonts w:hint="eastAsia"/>
                <w:sz w:val="24"/>
              </w:rPr>
              <w:t>ISO 16000-6:2021</w:t>
            </w:r>
          </w:p>
        </w:tc>
        <w:tc>
          <w:tcPr>
            <w:tcW w:w="7209" w:type="dxa"/>
          </w:tcPr>
          <w:p w14:paraId="2D308CEB">
            <w:pPr>
              <w:spacing w:line="360" w:lineRule="auto"/>
              <w:rPr>
                <w:rFonts w:hint="eastAsia"/>
                <w:sz w:val="24"/>
              </w:rPr>
            </w:pPr>
            <w:r>
              <w:rPr>
                <w:rFonts w:hint="eastAsia"/>
                <w:sz w:val="24"/>
              </w:rPr>
              <w:t>室内空气－第6部分：通过MS或MS FID吸收剂动态取样、热吸解和MSFID气相色谱法测定室内和实验室空气中挥发性有机化合物的含量[Indoor air - Part 6: Determination of organic compounds (VVOC, VOC, SVOC) in indoor and test chamber air by active sampling on sorbent tubes, thermal desorption and gas chr</w:t>
            </w:r>
            <w:r>
              <w:rPr>
                <w:sz w:val="24"/>
              </w:rPr>
              <w:t>omatography using MS or MS FID]</w:t>
            </w:r>
          </w:p>
        </w:tc>
      </w:tr>
      <w:tr w14:paraId="139CE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tcPr>
          <w:p w14:paraId="1F78F3A6">
            <w:pPr>
              <w:spacing w:line="360" w:lineRule="auto"/>
              <w:rPr>
                <w:rFonts w:hint="eastAsia"/>
                <w:sz w:val="24"/>
              </w:rPr>
            </w:pPr>
            <w:r>
              <w:rPr>
                <w:rFonts w:hint="eastAsia"/>
                <w:sz w:val="24"/>
              </w:rPr>
              <w:t>ISO 18666:20</w:t>
            </w:r>
            <w:r>
              <w:rPr>
                <w:sz w:val="24"/>
              </w:rPr>
              <w:t>21</w:t>
            </w:r>
          </w:p>
        </w:tc>
        <w:tc>
          <w:tcPr>
            <w:tcW w:w="7209" w:type="dxa"/>
          </w:tcPr>
          <w:p w14:paraId="176B8A14">
            <w:pPr>
              <w:spacing w:line="360" w:lineRule="auto"/>
              <w:rPr>
                <w:rFonts w:hint="eastAsia"/>
                <w:sz w:val="24"/>
              </w:rPr>
            </w:pPr>
            <w:r>
              <w:rPr>
                <w:rFonts w:hint="eastAsia"/>
                <w:sz w:val="24"/>
              </w:rPr>
              <w:t>中医-艾灸仪的一般要求（Traditional Chinese medicine – General requirements for moxibustion devices）</w:t>
            </w:r>
          </w:p>
        </w:tc>
      </w:tr>
    </w:tbl>
    <w:p w14:paraId="054180B0">
      <w:pPr>
        <w:spacing w:line="360" w:lineRule="auto"/>
        <w:ind w:firstLine="480" w:firstLineChars="200"/>
        <w:rPr>
          <w:sz w:val="24"/>
        </w:rPr>
      </w:pPr>
      <w:r>
        <w:rPr>
          <w:rFonts w:hint="eastAsia"/>
          <w:sz w:val="24"/>
        </w:rPr>
        <w:t>同时，按GB/T</w:t>
      </w:r>
      <w:r>
        <w:rPr>
          <w:sz w:val="24"/>
        </w:rPr>
        <w:t>1.2—2020 7.6</w:t>
      </w:r>
      <w:r>
        <w:rPr>
          <w:rFonts w:hint="eastAsia"/>
          <w:sz w:val="24"/>
        </w:rPr>
        <w:t>要求，本标准重新编写了要素“参考文献”中的文件清单，在其中列入了以下文件：</w:t>
      </w:r>
    </w:p>
    <w:p w14:paraId="3CF28A59">
      <w:pPr>
        <w:spacing w:line="360" w:lineRule="auto"/>
        <w:ind w:left="900" w:leftChars="200" w:hanging="480" w:hangingChars="200"/>
        <w:rPr>
          <w:sz w:val="24"/>
        </w:rPr>
      </w:pPr>
      <w:r>
        <w:rPr>
          <w:rFonts w:hint="eastAsia"/>
          <w:sz w:val="24"/>
        </w:rPr>
        <w:t>（1）本标准所参考的国家标准；</w:t>
      </w:r>
    </w:p>
    <w:p w14:paraId="3FB24AD4">
      <w:pPr>
        <w:spacing w:line="360" w:lineRule="auto"/>
        <w:ind w:left="900" w:leftChars="200" w:hanging="480" w:hangingChars="200"/>
        <w:rPr>
          <w:sz w:val="24"/>
        </w:rPr>
      </w:pPr>
      <w:r>
        <w:rPr>
          <w:rFonts w:hint="eastAsia"/>
          <w:sz w:val="24"/>
        </w:rPr>
        <w:t>（2）原文所列的参考ISO文件；</w:t>
      </w:r>
    </w:p>
    <w:p w14:paraId="6BE88296">
      <w:pPr>
        <w:keepNext/>
        <w:keepLines/>
        <w:spacing w:before="120" w:after="120" w:line="360" w:lineRule="auto"/>
        <w:outlineLvl w:val="0"/>
        <w:rPr>
          <w:rFonts w:ascii="黑体" w:hAnsi="黑体" w:eastAsia="黑体"/>
          <w:b/>
          <w:bCs/>
          <w:kern w:val="44"/>
          <w:sz w:val="28"/>
          <w:szCs w:val="28"/>
        </w:rPr>
      </w:pPr>
      <w:r>
        <w:rPr>
          <w:rFonts w:hint="eastAsia" w:ascii="黑体" w:hAnsi="黑体" w:eastAsia="黑体"/>
          <w:b/>
          <w:bCs/>
          <w:kern w:val="44"/>
          <w:sz w:val="28"/>
          <w:szCs w:val="28"/>
        </w:rPr>
        <w:t>四</w:t>
      </w:r>
      <w:r>
        <w:rPr>
          <w:rFonts w:ascii="黑体" w:hAnsi="黑体" w:eastAsia="黑体"/>
          <w:b/>
          <w:bCs/>
          <w:kern w:val="44"/>
          <w:sz w:val="28"/>
          <w:szCs w:val="28"/>
        </w:rPr>
        <w:t>、</w:t>
      </w:r>
      <w:r>
        <w:rPr>
          <w:rFonts w:hint="eastAsia" w:ascii="黑体" w:hAnsi="黑体" w:eastAsia="黑体"/>
          <w:b/>
          <w:bCs/>
          <w:kern w:val="44"/>
          <w:sz w:val="28"/>
          <w:szCs w:val="28"/>
        </w:rPr>
        <w:t>国际、国外相关标准情况</w:t>
      </w:r>
    </w:p>
    <w:p w14:paraId="49CB695F">
      <w:pPr>
        <w:spacing w:line="360" w:lineRule="auto"/>
        <w:ind w:firstLine="480" w:firstLineChars="200"/>
        <w:rPr>
          <w:sz w:val="24"/>
        </w:rPr>
      </w:pPr>
      <w:r>
        <w:rPr>
          <w:rFonts w:hint="eastAsia"/>
          <w:sz w:val="24"/>
        </w:rPr>
        <w:t>国际标准化组织（ISO）目前共发布了4部有艾灸仪（moxibustion</w:t>
      </w:r>
      <w:r>
        <w:rPr>
          <w:sz w:val="24"/>
        </w:rPr>
        <w:t xml:space="preserve"> device</w:t>
      </w:r>
      <w:r>
        <w:rPr>
          <w:rFonts w:hint="eastAsia"/>
          <w:sz w:val="24"/>
        </w:rPr>
        <w:t>）的国际标准。其中除外ISO</w:t>
      </w:r>
      <w:r>
        <w:rPr>
          <w:sz w:val="24"/>
        </w:rPr>
        <w:t xml:space="preserve"> 21366</w:t>
      </w:r>
      <w:r>
        <w:rPr>
          <w:rFonts w:hint="eastAsia"/>
          <w:sz w:val="24"/>
        </w:rPr>
        <w:t>之外，另3部ISO国际标准均不涉及无烟艾灸仪。</w:t>
      </w:r>
    </w:p>
    <w:p w14:paraId="06802FD2">
      <w:pPr>
        <w:keepNext/>
        <w:keepLines/>
        <w:spacing w:before="120" w:after="120" w:line="360" w:lineRule="auto"/>
        <w:outlineLvl w:val="0"/>
        <w:rPr>
          <w:rFonts w:ascii="黑体" w:hAnsi="黑体" w:eastAsia="黑体"/>
          <w:b/>
          <w:bCs/>
          <w:kern w:val="44"/>
          <w:sz w:val="28"/>
          <w:szCs w:val="28"/>
        </w:rPr>
      </w:pPr>
      <w:r>
        <w:rPr>
          <w:rFonts w:hint="eastAsia" w:ascii="黑体" w:hAnsi="黑体" w:eastAsia="黑体"/>
          <w:b/>
          <w:bCs/>
          <w:kern w:val="44"/>
          <w:sz w:val="28"/>
          <w:szCs w:val="28"/>
        </w:rPr>
        <w:t>五、与有关法律、行政法规及相关标准的关系</w:t>
      </w:r>
    </w:p>
    <w:p w14:paraId="4DB8E0A0">
      <w:pPr>
        <w:spacing w:line="360" w:lineRule="auto"/>
        <w:ind w:firstLine="480" w:firstLineChars="200"/>
        <w:rPr>
          <w:rFonts w:hint="eastAsia"/>
          <w:sz w:val="24"/>
        </w:rPr>
      </w:pPr>
      <w:r>
        <w:rPr>
          <w:rFonts w:hint="eastAsia"/>
          <w:sz w:val="24"/>
        </w:rPr>
        <w:t>本标准符合我国现行法律法规。无烟艾灸仪在我国暂无相关标准。</w:t>
      </w:r>
    </w:p>
    <w:p w14:paraId="5B0F139A">
      <w:pPr>
        <w:keepNext/>
        <w:keepLines/>
        <w:spacing w:before="120" w:after="120" w:line="360" w:lineRule="auto"/>
        <w:outlineLvl w:val="0"/>
        <w:rPr>
          <w:rFonts w:ascii="黑体" w:hAnsi="黑体" w:eastAsia="黑体"/>
          <w:b/>
          <w:bCs/>
          <w:kern w:val="44"/>
          <w:sz w:val="28"/>
          <w:szCs w:val="28"/>
        </w:rPr>
      </w:pPr>
      <w:r>
        <w:rPr>
          <w:rFonts w:hint="eastAsia" w:ascii="黑体" w:hAnsi="黑体" w:eastAsia="黑体"/>
          <w:b/>
          <w:bCs/>
          <w:kern w:val="44"/>
          <w:sz w:val="28"/>
          <w:szCs w:val="28"/>
        </w:rPr>
        <w:t>六、重大分歧意见的处理经过和依据</w:t>
      </w:r>
    </w:p>
    <w:p w14:paraId="6C6FE0EC">
      <w:pPr>
        <w:spacing w:line="360" w:lineRule="auto"/>
        <w:ind w:firstLine="480" w:firstLineChars="200"/>
        <w:rPr>
          <w:sz w:val="24"/>
        </w:rPr>
      </w:pPr>
      <w:r>
        <w:rPr>
          <w:rFonts w:hint="eastAsia"/>
          <w:sz w:val="24"/>
        </w:rPr>
        <w:t>本项目无重大分歧意见。</w:t>
      </w:r>
    </w:p>
    <w:p w14:paraId="1B149FBE">
      <w:pPr>
        <w:keepNext/>
        <w:keepLines/>
        <w:spacing w:before="120" w:after="120" w:line="360" w:lineRule="auto"/>
        <w:outlineLvl w:val="0"/>
        <w:rPr>
          <w:rFonts w:ascii="黑体" w:hAnsi="黑体" w:eastAsia="黑体"/>
          <w:b/>
          <w:bCs/>
          <w:kern w:val="44"/>
          <w:sz w:val="28"/>
          <w:szCs w:val="28"/>
        </w:rPr>
      </w:pPr>
      <w:r>
        <w:rPr>
          <w:rFonts w:ascii="黑体" w:hAnsi="黑体" w:eastAsia="黑体"/>
          <w:b/>
          <w:bCs/>
          <w:kern w:val="44"/>
          <w:sz w:val="28"/>
          <w:szCs w:val="28"/>
        </w:rPr>
        <w:t>七</w:t>
      </w:r>
      <w:r>
        <w:rPr>
          <w:rFonts w:hint="eastAsia" w:ascii="黑体" w:hAnsi="黑体" w:eastAsia="黑体"/>
          <w:b/>
          <w:bCs/>
          <w:kern w:val="44"/>
          <w:sz w:val="28"/>
          <w:szCs w:val="28"/>
        </w:rPr>
        <w:t>、涉及专利的有关说明</w:t>
      </w:r>
    </w:p>
    <w:p w14:paraId="014105FB">
      <w:pPr>
        <w:spacing w:line="360" w:lineRule="auto"/>
        <w:ind w:firstLine="480" w:firstLineChars="200"/>
        <w:rPr>
          <w:sz w:val="24"/>
        </w:rPr>
      </w:pPr>
      <w:r>
        <w:rPr>
          <w:rFonts w:hint="eastAsia"/>
          <w:sz w:val="24"/>
        </w:rPr>
        <w:t>本采标项目不涉及专利。</w:t>
      </w:r>
    </w:p>
    <w:p w14:paraId="368F2C60">
      <w:pPr>
        <w:keepNext/>
        <w:keepLines/>
        <w:spacing w:before="120" w:after="120" w:line="360" w:lineRule="auto"/>
        <w:outlineLvl w:val="0"/>
        <w:rPr>
          <w:rFonts w:ascii="黑体" w:hAnsi="黑体" w:eastAsia="黑体"/>
          <w:b/>
          <w:bCs/>
          <w:kern w:val="44"/>
          <w:sz w:val="28"/>
          <w:szCs w:val="28"/>
        </w:rPr>
      </w:pPr>
      <w:r>
        <w:rPr>
          <w:rFonts w:ascii="黑体" w:hAnsi="黑体" w:eastAsia="黑体"/>
          <w:b/>
          <w:bCs/>
          <w:kern w:val="44"/>
          <w:sz w:val="28"/>
          <w:szCs w:val="28"/>
        </w:rPr>
        <w:t>八</w:t>
      </w:r>
      <w:r>
        <w:rPr>
          <w:rFonts w:hint="eastAsia" w:ascii="黑体" w:hAnsi="黑体" w:eastAsia="黑体"/>
          <w:b/>
          <w:bCs/>
          <w:kern w:val="44"/>
          <w:sz w:val="28"/>
          <w:szCs w:val="28"/>
        </w:rPr>
        <w:t>、</w:t>
      </w:r>
      <w:r>
        <w:rPr>
          <w:rFonts w:ascii="黑体" w:hAnsi="黑体" w:eastAsia="黑体"/>
          <w:b/>
          <w:bCs/>
          <w:kern w:val="44"/>
          <w:sz w:val="28"/>
          <w:szCs w:val="28"/>
        </w:rPr>
        <w:t>标准</w:t>
      </w:r>
      <w:r>
        <w:rPr>
          <w:rFonts w:hint="eastAsia" w:ascii="黑体" w:hAnsi="黑体" w:eastAsia="黑体"/>
          <w:b/>
          <w:bCs/>
          <w:kern w:val="44"/>
          <w:sz w:val="28"/>
          <w:szCs w:val="28"/>
        </w:rPr>
        <w:t>实施建议</w:t>
      </w:r>
    </w:p>
    <w:p w14:paraId="2DA62F93">
      <w:pPr>
        <w:spacing w:line="360" w:lineRule="auto"/>
        <w:ind w:firstLine="480" w:firstLineChars="200"/>
        <w:rPr>
          <w:sz w:val="24"/>
        </w:rPr>
      </w:pPr>
      <w:r>
        <w:rPr>
          <w:rFonts w:hint="eastAsia"/>
          <w:sz w:val="24"/>
        </w:rPr>
        <w:t>建议以推荐性地方标准发布实施。</w:t>
      </w:r>
    </w:p>
    <w:p w14:paraId="3CE8851C">
      <w:pPr>
        <w:spacing w:line="360" w:lineRule="auto"/>
        <w:ind w:firstLine="480" w:firstLineChars="200"/>
        <w:rPr>
          <w:sz w:val="24"/>
        </w:rPr>
      </w:pPr>
      <w:r>
        <w:rPr>
          <w:rFonts w:hint="eastAsia"/>
          <w:sz w:val="24"/>
        </w:rPr>
        <w:t>建议通过国家标准化管理委员会官方网站、主要起草单位官方网站、行业单位网站、媒体、艾灸器械厂商会议等渠道宣贯，推动本标准实施。</w:t>
      </w:r>
    </w:p>
    <w:p w14:paraId="3F475FB5">
      <w:pPr>
        <w:keepNext/>
        <w:keepLines/>
        <w:spacing w:before="120" w:after="120" w:line="360" w:lineRule="auto"/>
        <w:outlineLvl w:val="0"/>
        <w:rPr>
          <w:rFonts w:ascii="黑体" w:hAnsi="黑体" w:eastAsia="黑体"/>
          <w:b/>
          <w:bCs/>
          <w:kern w:val="44"/>
          <w:sz w:val="28"/>
          <w:szCs w:val="28"/>
        </w:rPr>
      </w:pPr>
      <w:r>
        <w:rPr>
          <w:rFonts w:hint="eastAsia" w:ascii="黑体" w:hAnsi="黑体" w:eastAsia="黑体"/>
          <w:b/>
          <w:bCs/>
          <w:kern w:val="44"/>
          <w:sz w:val="28"/>
          <w:szCs w:val="28"/>
        </w:rPr>
        <w:t>九、其他应当说明的事项</w:t>
      </w:r>
    </w:p>
    <w:p w14:paraId="302F891B">
      <w:pPr>
        <w:spacing w:line="360" w:lineRule="auto"/>
        <w:ind w:firstLine="480" w:firstLineChars="200"/>
        <w:rPr>
          <w:sz w:val="24"/>
        </w:rPr>
      </w:pPr>
      <w:r>
        <w:rPr>
          <w:rFonts w:hint="eastAsia"/>
          <w:sz w:val="24"/>
        </w:rPr>
        <w:t>无。</w:t>
      </w:r>
    </w:p>
    <w:p w14:paraId="29BBF66B">
      <w:pPr>
        <w:pStyle w:val="3"/>
        <w:snapToGrid w:val="0"/>
        <w:spacing w:line="360" w:lineRule="auto"/>
        <w:ind w:firstLine="560" w:firstLineChars="200"/>
        <w:jc w:val="left"/>
        <w:rPr>
          <w:rFonts w:hint="default" w:asciiTheme="majorEastAsia" w:hAnsiTheme="majorEastAsia" w:eastAsiaTheme="majorEastAsia"/>
          <w:b w:val="0"/>
          <w:bCs w:val="0"/>
          <w:color w:val="auto"/>
          <w:sz w:val="28"/>
          <w:szCs w:val="28"/>
        </w:rPr>
      </w:pPr>
    </w:p>
    <w:sectPr>
      <w:footerReference r:id="rId3" w:type="default"/>
      <w:pgSz w:w="11906" w:h="16838"/>
      <w:pgMar w:top="1304" w:right="1304" w:bottom="1304" w:left="1304"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858895"/>
    </w:sdtPr>
    <w:sdtContent>
      <w:p w14:paraId="429D5D12">
        <w:pPr>
          <w:pStyle w:val="7"/>
          <w:jc w:val="center"/>
        </w:pPr>
        <w:r>
          <w:fldChar w:fldCharType="begin"/>
        </w:r>
        <w:r>
          <w:instrText xml:space="preserve">PAGE   \* MERGEFORMAT</w:instrText>
        </w:r>
        <w:r>
          <w:fldChar w:fldCharType="separate"/>
        </w:r>
        <w:r>
          <w:rPr>
            <w:lang w:val="zh-CN"/>
          </w:rPr>
          <w:t>9</w:t>
        </w:r>
        <w:r>
          <w:fldChar w:fldCharType="end"/>
        </w:r>
      </w:p>
    </w:sdtContent>
  </w:sdt>
  <w:p w14:paraId="2A085B26">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737B78"/>
    <w:multiLevelType w:val="singleLevel"/>
    <w:tmpl w:val="39737B78"/>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E51"/>
    <w:rsid w:val="000008AF"/>
    <w:rsid w:val="000066B7"/>
    <w:rsid w:val="000132E0"/>
    <w:rsid w:val="00014F98"/>
    <w:rsid w:val="00015A30"/>
    <w:rsid w:val="00022CA5"/>
    <w:rsid w:val="000334F7"/>
    <w:rsid w:val="000361DF"/>
    <w:rsid w:val="00043186"/>
    <w:rsid w:val="000474CC"/>
    <w:rsid w:val="0005173F"/>
    <w:rsid w:val="00062687"/>
    <w:rsid w:val="000757F1"/>
    <w:rsid w:val="00081E6C"/>
    <w:rsid w:val="000866B4"/>
    <w:rsid w:val="00091422"/>
    <w:rsid w:val="000B3362"/>
    <w:rsid w:val="000B7D0D"/>
    <w:rsid w:val="000C1C8C"/>
    <w:rsid w:val="000D0945"/>
    <w:rsid w:val="000D125E"/>
    <w:rsid w:val="000D3EC9"/>
    <w:rsid w:val="000D558D"/>
    <w:rsid w:val="000D627D"/>
    <w:rsid w:val="000E486C"/>
    <w:rsid w:val="000F1A20"/>
    <w:rsid w:val="000F715F"/>
    <w:rsid w:val="00104AD1"/>
    <w:rsid w:val="001051DA"/>
    <w:rsid w:val="00106121"/>
    <w:rsid w:val="001100E9"/>
    <w:rsid w:val="001153ED"/>
    <w:rsid w:val="00115BE9"/>
    <w:rsid w:val="0011658F"/>
    <w:rsid w:val="0012050F"/>
    <w:rsid w:val="001206DA"/>
    <w:rsid w:val="00123B47"/>
    <w:rsid w:val="0013236E"/>
    <w:rsid w:val="00134D1D"/>
    <w:rsid w:val="0013645B"/>
    <w:rsid w:val="00136E73"/>
    <w:rsid w:val="00142A23"/>
    <w:rsid w:val="0014411B"/>
    <w:rsid w:val="00146DD8"/>
    <w:rsid w:val="00151E90"/>
    <w:rsid w:val="001534C0"/>
    <w:rsid w:val="001538A4"/>
    <w:rsid w:val="00154597"/>
    <w:rsid w:val="0015799F"/>
    <w:rsid w:val="00165C2B"/>
    <w:rsid w:val="00166AA1"/>
    <w:rsid w:val="0017130F"/>
    <w:rsid w:val="001875E6"/>
    <w:rsid w:val="00190E27"/>
    <w:rsid w:val="001C063C"/>
    <w:rsid w:val="001C7139"/>
    <w:rsid w:val="001D360F"/>
    <w:rsid w:val="001E2957"/>
    <w:rsid w:val="001E5E82"/>
    <w:rsid w:val="001E777E"/>
    <w:rsid w:val="002008F0"/>
    <w:rsid w:val="0020620B"/>
    <w:rsid w:val="00214D0E"/>
    <w:rsid w:val="0022009B"/>
    <w:rsid w:val="00220D41"/>
    <w:rsid w:val="00224B63"/>
    <w:rsid w:val="002734A0"/>
    <w:rsid w:val="002823AE"/>
    <w:rsid w:val="00282C99"/>
    <w:rsid w:val="00284D7A"/>
    <w:rsid w:val="0029160F"/>
    <w:rsid w:val="002940F5"/>
    <w:rsid w:val="002A2A83"/>
    <w:rsid w:val="002A350C"/>
    <w:rsid w:val="002A58F1"/>
    <w:rsid w:val="002D4961"/>
    <w:rsid w:val="002D5C87"/>
    <w:rsid w:val="002F4102"/>
    <w:rsid w:val="002F50EF"/>
    <w:rsid w:val="002F6376"/>
    <w:rsid w:val="002F68ED"/>
    <w:rsid w:val="002F6F02"/>
    <w:rsid w:val="002F7B31"/>
    <w:rsid w:val="00304760"/>
    <w:rsid w:val="00304FCD"/>
    <w:rsid w:val="00311881"/>
    <w:rsid w:val="003128E9"/>
    <w:rsid w:val="00315DEC"/>
    <w:rsid w:val="00324F46"/>
    <w:rsid w:val="00340145"/>
    <w:rsid w:val="00363650"/>
    <w:rsid w:val="00365957"/>
    <w:rsid w:val="00376CFB"/>
    <w:rsid w:val="00396152"/>
    <w:rsid w:val="003B3223"/>
    <w:rsid w:val="003B34A7"/>
    <w:rsid w:val="003D3014"/>
    <w:rsid w:val="003E708A"/>
    <w:rsid w:val="003F0850"/>
    <w:rsid w:val="003F17EE"/>
    <w:rsid w:val="003F6234"/>
    <w:rsid w:val="00401DE6"/>
    <w:rsid w:val="00402067"/>
    <w:rsid w:val="00403C3F"/>
    <w:rsid w:val="00410A42"/>
    <w:rsid w:val="00415E56"/>
    <w:rsid w:val="00421651"/>
    <w:rsid w:val="00423A57"/>
    <w:rsid w:val="00426D9B"/>
    <w:rsid w:val="00427D3E"/>
    <w:rsid w:val="00431F7D"/>
    <w:rsid w:val="00433433"/>
    <w:rsid w:val="004364C9"/>
    <w:rsid w:val="00437A4B"/>
    <w:rsid w:val="0044555B"/>
    <w:rsid w:val="004531D9"/>
    <w:rsid w:val="00467452"/>
    <w:rsid w:val="004926C1"/>
    <w:rsid w:val="004A039D"/>
    <w:rsid w:val="004A289D"/>
    <w:rsid w:val="004A30D7"/>
    <w:rsid w:val="004A7873"/>
    <w:rsid w:val="004B4C43"/>
    <w:rsid w:val="004B67F8"/>
    <w:rsid w:val="004C2927"/>
    <w:rsid w:val="004C6408"/>
    <w:rsid w:val="004D06BC"/>
    <w:rsid w:val="004D4D20"/>
    <w:rsid w:val="004D6FEB"/>
    <w:rsid w:val="004D7ABD"/>
    <w:rsid w:val="004F07E3"/>
    <w:rsid w:val="004F115E"/>
    <w:rsid w:val="004F50A3"/>
    <w:rsid w:val="0050283B"/>
    <w:rsid w:val="00511D4D"/>
    <w:rsid w:val="00513E2C"/>
    <w:rsid w:val="005220D0"/>
    <w:rsid w:val="005246E4"/>
    <w:rsid w:val="0053416A"/>
    <w:rsid w:val="005355F1"/>
    <w:rsid w:val="00544940"/>
    <w:rsid w:val="00546A4B"/>
    <w:rsid w:val="005564D3"/>
    <w:rsid w:val="00561514"/>
    <w:rsid w:val="00561CA7"/>
    <w:rsid w:val="00564A27"/>
    <w:rsid w:val="005660AF"/>
    <w:rsid w:val="00590D4A"/>
    <w:rsid w:val="005C4B37"/>
    <w:rsid w:val="005D5A09"/>
    <w:rsid w:val="005E06F2"/>
    <w:rsid w:val="005E5E16"/>
    <w:rsid w:val="005F3CF4"/>
    <w:rsid w:val="005F3D6A"/>
    <w:rsid w:val="006148E0"/>
    <w:rsid w:val="00630CC7"/>
    <w:rsid w:val="00633811"/>
    <w:rsid w:val="0063592F"/>
    <w:rsid w:val="006379C0"/>
    <w:rsid w:val="0064658F"/>
    <w:rsid w:val="00647793"/>
    <w:rsid w:val="00652050"/>
    <w:rsid w:val="00655155"/>
    <w:rsid w:val="00656C6F"/>
    <w:rsid w:val="0066207C"/>
    <w:rsid w:val="00662161"/>
    <w:rsid w:val="0066796B"/>
    <w:rsid w:val="00671BEF"/>
    <w:rsid w:val="00680010"/>
    <w:rsid w:val="006871BD"/>
    <w:rsid w:val="006932C7"/>
    <w:rsid w:val="0069795B"/>
    <w:rsid w:val="006B6552"/>
    <w:rsid w:val="006D008C"/>
    <w:rsid w:val="006F16AE"/>
    <w:rsid w:val="006F4A3D"/>
    <w:rsid w:val="007024C2"/>
    <w:rsid w:val="00713C73"/>
    <w:rsid w:val="007235B8"/>
    <w:rsid w:val="0072430E"/>
    <w:rsid w:val="00725D95"/>
    <w:rsid w:val="0073369B"/>
    <w:rsid w:val="00741137"/>
    <w:rsid w:val="00747D2A"/>
    <w:rsid w:val="00763C60"/>
    <w:rsid w:val="0077268B"/>
    <w:rsid w:val="00773490"/>
    <w:rsid w:val="00774253"/>
    <w:rsid w:val="00774AF1"/>
    <w:rsid w:val="0078660B"/>
    <w:rsid w:val="00792459"/>
    <w:rsid w:val="007A0FCE"/>
    <w:rsid w:val="007A154E"/>
    <w:rsid w:val="007C3E0D"/>
    <w:rsid w:val="007C7F3B"/>
    <w:rsid w:val="007D4132"/>
    <w:rsid w:val="007D62EB"/>
    <w:rsid w:val="007E5E12"/>
    <w:rsid w:val="007F0C34"/>
    <w:rsid w:val="007F295D"/>
    <w:rsid w:val="007F4F99"/>
    <w:rsid w:val="007F7726"/>
    <w:rsid w:val="007F79DB"/>
    <w:rsid w:val="008035AA"/>
    <w:rsid w:val="00814DC8"/>
    <w:rsid w:val="0084555F"/>
    <w:rsid w:val="008609AC"/>
    <w:rsid w:val="00865A13"/>
    <w:rsid w:val="0086771C"/>
    <w:rsid w:val="00870653"/>
    <w:rsid w:val="00870FD0"/>
    <w:rsid w:val="008742F5"/>
    <w:rsid w:val="008753F7"/>
    <w:rsid w:val="00880B3C"/>
    <w:rsid w:val="00882989"/>
    <w:rsid w:val="008939AF"/>
    <w:rsid w:val="008A1E49"/>
    <w:rsid w:val="008A5EA6"/>
    <w:rsid w:val="008B1410"/>
    <w:rsid w:val="008B2C72"/>
    <w:rsid w:val="008B3B03"/>
    <w:rsid w:val="008C641E"/>
    <w:rsid w:val="008D190F"/>
    <w:rsid w:val="008D76CB"/>
    <w:rsid w:val="008E2A15"/>
    <w:rsid w:val="008E2ADD"/>
    <w:rsid w:val="008E36BB"/>
    <w:rsid w:val="008F2070"/>
    <w:rsid w:val="008F25A3"/>
    <w:rsid w:val="009006D6"/>
    <w:rsid w:val="00906C6B"/>
    <w:rsid w:val="00916D11"/>
    <w:rsid w:val="00925D5F"/>
    <w:rsid w:val="00941369"/>
    <w:rsid w:val="00943A75"/>
    <w:rsid w:val="00960CFB"/>
    <w:rsid w:val="00962803"/>
    <w:rsid w:val="00964F18"/>
    <w:rsid w:val="009817F1"/>
    <w:rsid w:val="00982A7C"/>
    <w:rsid w:val="0098797E"/>
    <w:rsid w:val="00994F25"/>
    <w:rsid w:val="009969E2"/>
    <w:rsid w:val="009B304A"/>
    <w:rsid w:val="009B6DE2"/>
    <w:rsid w:val="009C4EA5"/>
    <w:rsid w:val="009C5F02"/>
    <w:rsid w:val="009C6DD0"/>
    <w:rsid w:val="009D5029"/>
    <w:rsid w:val="009E1C34"/>
    <w:rsid w:val="009E317A"/>
    <w:rsid w:val="009E7C67"/>
    <w:rsid w:val="009E7DB9"/>
    <w:rsid w:val="009E7FBA"/>
    <w:rsid w:val="009F25FC"/>
    <w:rsid w:val="009F5798"/>
    <w:rsid w:val="00A1095F"/>
    <w:rsid w:val="00A11BA3"/>
    <w:rsid w:val="00A1553E"/>
    <w:rsid w:val="00A20B4B"/>
    <w:rsid w:val="00A2203D"/>
    <w:rsid w:val="00A2303D"/>
    <w:rsid w:val="00A34103"/>
    <w:rsid w:val="00A407C5"/>
    <w:rsid w:val="00A43F1B"/>
    <w:rsid w:val="00A7398A"/>
    <w:rsid w:val="00A7422E"/>
    <w:rsid w:val="00A82EC4"/>
    <w:rsid w:val="00A84902"/>
    <w:rsid w:val="00A85B41"/>
    <w:rsid w:val="00AA0B5D"/>
    <w:rsid w:val="00AD371C"/>
    <w:rsid w:val="00AD5E2C"/>
    <w:rsid w:val="00AD6578"/>
    <w:rsid w:val="00AE480E"/>
    <w:rsid w:val="00AE5043"/>
    <w:rsid w:val="00AF3F93"/>
    <w:rsid w:val="00AF69FC"/>
    <w:rsid w:val="00AF79A6"/>
    <w:rsid w:val="00B11327"/>
    <w:rsid w:val="00B12E51"/>
    <w:rsid w:val="00B21B81"/>
    <w:rsid w:val="00B62AE1"/>
    <w:rsid w:val="00B62DF0"/>
    <w:rsid w:val="00B64935"/>
    <w:rsid w:val="00B92E44"/>
    <w:rsid w:val="00B9559B"/>
    <w:rsid w:val="00BB3D5E"/>
    <w:rsid w:val="00BB720C"/>
    <w:rsid w:val="00BC00AA"/>
    <w:rsid w:val="00BC2587"/>
    <w:rsid w:val="00BD78BF"/>
    <w:rsid w:val="00BE54BC"/>
    <w:rsid w:val="00BE7D47"/>
    <w:rsid w:val="00BF777F"/>
    <w:rsid w:val="00BF7C6C"/>
    <w:rsid w:val="00C01F28"/>
    <w:rsid w:val="00C11C3A"/>
    <w:rsid w:val="00C136E8"/>
    <w:rsid w:val="00C359A7"/>
    <w:rsid w:val="00C36210"/>
    <w:rsid w:val="00C40A86"/>
    <w:rsid w:val="00C412C1"/>
    <w:rsid w:val="00C534ED"/>
    <w:rsid w:val="00C60AB7"/>
    <w:rsid w:val="00C721E3"/>
    <w:rsid w:val="00C72E7D"/>
    <w:rsid w:val="00C815C5"/>
    <w:rsid w:val="00C968AC"/>
    <w:rsid w:val="00CA17BA"/>
    <w:rsid w:val="00CC0F3D"/>
    <w:rsid w:val="00CC49F8"/>
    <w:rsid w:val="00CC59EF"/>
    <w:rsid w:val="00CD162E"/>
    <w:rsid w:val="00CD3E84"/>
    <w:rsid w:val="00CD5552"/>
    <w:rsid w:val="00CD5DFA"/>
    <w:rsid w:val="00CE6BC4"/>
    <w:rsid w:val="00CF5FA9"/>
    <w:rsid w:val="00CF795B"/>
    <w:rsid w:val="00D06D03"/>
    <w:rsid w:val="00D114EA"/>
    <w:rsid w:val="00D36E5D"/>
    <w:rsid w:val="00D37D69"/>
    <w:rsid w:val="00D41424"/>
    <w:rsid w:val="00D42FDC"/>
    <w:rsid w:val="00D43243"/>
    <w:rsid w:val="00D44E52"/>
    <w:rsid w:val="00D5078E"/>
    <w:rsid w:val="00D53263"/>
    <w:rsid w:val="00D6135C"/>
    <w:rsid w:val="00D61EB6"/>
    <w:rsid w:val="00D646E8"/>
    <w:rsid w:val="00D70511"/>
    <w:rsid w:val="00D74D59"/>
    <w:rsid w:val="00D75F4E"/>
    <w:rsid w:val="00D81660"/>
    <w:rsid w:val="00D92510"/>
    <w:rsid w:val="00D92A72"/>
    <w:rsid w:val="00DA26AB"/>
    <w:rsid w:val="00DA529A"/>
    <w:rsid w:val="00DC6123"/>
    <w:rsid w:val="00DD1904"/>
    <w:rsid w:val="00DD29C7"/>
    <w:rsid w:val="00DD58EB"/>
    <w:rsid w:val="00DF1695"/>
    <w:rsid w:val="00DF63CC"/>
    <w:rsid w:val="00DF7C87"/>
    <w:rsid w:val="00E22CF7"/>
    <w:rsid w:val="00E262C8"/>
    <w:rsid w:val="00E300D4"/>
    <w:rsid w:val="00E327B4"/>
    <w:rsid w:val="00E42723"/>
    <w:rsid w:val="00E42A2A"/>
    <w:rsid w:val="00E4494A"/>
    <w:rsid w:val="00E57824"/>
    <w:rsid w:val="00E67F6C"/>
    <w:rsid w:val="00E710C8"/>
    <w:rsid w:val="00E84BE9"/>
    <w:rsid w:val="00E85896"/>
    <w:rsid w:val="00EA5352"/>
    <w:rsid w:val="00EB72A2"/>
    <w:rsid w:val="00EC2F61"/>
    <w:rsid w:val="00EC4422"/>
    <w:rsid w:val="00EC7EDE"/>
    <w:rsid w:val="00ED17F2"/>
    <w:rsid w:val="00EE138A"/>
    <w:rsid w:val="00EE3A77"/>
    <w:rsid w:val="00EF21AC"/>
    <w:rsid w:val="00F006DF"/>
    <w:rsid w:val="00F13F08"/>
    <w:rsid w:val="00F150DA"/>
    <w:rsid w:val="00F207F1"/>
    <w:rsid w:val="00F23CE6"/>
    <w:rsid w:val="00F35A63"/>
    <w:rsid w:val="00F37E9F"/>
    <w:rsid w:val="00F46F2F"/>
    <w:rsid w:val="00F47AA9"/>
    <w:rsid w:val="00F51737"/>
    <w:rsid w:val="00F534AE"/>
    <w:rsid w:val="00F539F0"/>
    <w:rsid w:val="00F635B3"/>
    <w:rsid w:val="00F71EBB"/>
    <w:rsid w:val="00F77297"/>
    <w:rsid w:val="00F83053"/>
    <w:rsid w:val="00F84A46"/>
    <w:rsid w:val="00F90FDC"/>
    <w:rsid w:val="00F91A7C"/>
    <w:rsid w:val="00F92F0B"/>
    <w:rsid w:val="00FA3217"/>
    <w:rsid w:val="00FA3231"/>
    <w:rsid w:val="00FB2CAD"/>
    <w:rsid w:val="00FB31AF"/>
    <w:rsid w:val="00FC0AF5"/>
    <w:rsid w:val="00FC1C40"/>
    <w:rsid w:val="00FC3704"/>
    <w:rsid w:val="00FC759C"/>
    <w:rsid w:val="00FD1777"/>
    <w:rsid w:val="00FD62DB"/>
    <w:rsid w:val="00FD71BC"/>
    <w:rsid w:val="00FE000C"/>
    <w:rsid w:val="00FF0B90"/>
    <w:rsid w:val="00FF2D99"/>
    <w:rsid w:val="00FF41B3"/>
    <w:rsid w:val="00FF61C1"/>
    <w:rsid w:val="0E3700EE"/>
    <w:rsid w:val="6E4E6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6"/>
    <w:semiHidden/>
    <w:unhideWhenUsed/>
    <w:qFormat/>
    <w:uiPriority w:val="99"/>
    <w:pPr>
      <w:jc w:val="left"/>
    </w:pPr>
  </w:style>
  <w:style w:type="paragraph" w:styleId="3">
    <w:name w:val="Body Text"/>
    <w:basedOn w:val="1"/>
    <w:link w:val="20"/>
    <w:uiPriority w:val="0"/>
    <w:pPr>
      <w:jc w:val="center"/>
    </w:pPr>
    <w:rPr>
      <w:rFonts w:hint="eastAsia" w:ascii="宋体"/>
      <w:b/>
      <w:bCs/>
      <w:color w:val="FF0000"/>
      <w:sz w:val="44"/>
      <w:szCs w:val="36"/>
    </w:rPr>
  </w:style>
  <w:style w:type="paragraph" w:styleId="4">
    <w:name w:val="Body Text Indent"/>
    <w:basedOn w:val="1"/>
    <w:link w:val="18"/>
    <w:unhideWhenUsed/>
    <w:uiPriority w:val="99"/>
    <w:pPr>
      <w:spacing w:after="120"/>
      <w:ind w:left="420" w:leftChars="200"/>
    </w:pPr>
  </w:style>
  <w:style w:type="paragraph" w:styleId="5">
    <w:name w:val="Date"/>
    <w:basedOn w:val="1"/>
    <w:next w:val="1"/>
    <w:link w:val="25"/>
    <w:semiHidden/>
    <w:unhideWhenUsed/>
    <w:qFormat/>
    <w:uiPriority w:val="99"/>
    <w:pPr>
      <w:ind w:left="100" w:leftChars="2500"/>
    </w:pPr>
  </w:style>
  <w:style w:type="paragraph" w:styleId="6">
    <w:name w:val="Balloon Text"/>
    <w:basedOn w:val="1"/>
    <w:link w:val="23"/>
    <w:semiHidden/>
    <w:unhideWhenUsed/>
    <w:qFormat/>
    <w:uiPriority w:val="99"/>
    <w:rPr>
      <w:sz w:val="18"/>
      <w:szCs w:val="18"/>
    </w:rPr>
  </w:style>
  <w:style w:type="paragraph" w:styleId="7">
    <w:name w:val="footer"/>
    <w:basedOn w:val="1"/>
    <w:link w:val="22"/>
    <w:unhideWhenUsed/>
    <w:uiPriority w:val="99"/>
    <w:pPr>
      <w:tabs>
        <w:tab w:val="center" w:pos="4153"/>
        <w:tab w:val="right" w:pos="8306"/>
      </w:tabs>
      <w:snapToGrid w:val="0"/>
      <w:jc w:val="left"/>
    </w:pPr>
    <w:rPr>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0">
    <w:name w:val="Title"/>
    <w:basedOn w:val="1"/>
    <w:next w:val="1"/>
    <w:link w:val="17"/>
    <w:qFormat/>
    <w:uiPriority w:val="0"/>
    <w:pPr>
      <w:adjustRightInd w:val="0"/>
      <w:spacing w:before="240" w:after="60" w:line="300" w:lineRule="auto"/>
      <w:jc w:val="left"/>
      <w:outlineLvl w:val="0"/>
    </w:pPr>
    <w:rPr>
      <w:rFonts w:asciiTheme="majorHAnsi" w:hAnsiTheme="majorHAnsi" w:cstheme="majorBidi"/>
      <w:b/>
      <w:bCs/>
      <w:kern w:val="0"/>
      <w:sz w:val="32"/>
      <w:szCs w:val="32"/>
      <w:lang w:eastAsia="en-US"/>
    </w:rPr>
  </w:style>
  <w:style w:type="paragraph" w:styleId="11">
    <w:name w:val="annotation subject"/>
    <w:basedOn w:val="2"/>
    <w:next w:val="2"/>
    <w:link w:val="27"/>
    <w:semiHidden/>
    <w:unhideWhenUsed/>
    <w:qFormat/>
    <w:uiPriority w:val="99"/>
    <w:rPr>
      <w:b/>
      <w:bCs/>
    </w:rPr>
  </w:style>
  <w:style w:type="paragraph" w:styleId="12">
    <w:name w:val="Body Text First Indent 2"/>
    <w:basedOn w:val="4"/>
    <w:link w:val="19"/>
    <w:unhideWhenUsed/>
    <w:qFormat/>
    <w:uiPriority w:val="99"/>
    <w:pPr>
      <w:ind w:firstLine="420" w:firstLineChars="200"/>
    </w:p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semiHidden/>
    <w:unhideWhenUsed/>
    <w:qFormat/>
    <w:uiPriority w:val="99"/>
    <w:rPr>
      <w:sz w:val="21"/>
      <w:szCs w:val="21"/>
    </w:rPr>
  </w:style>
  <w:style w:type="character" w:customStyle="1" w:styleId="17">
    <w:name w:val="标题 字符"/>
    <w:basedOn w:val="15"/>
    <w:link w:val="10"/>
    <w:qFormat/>
    <w:uiPriority w:val="0"/>
    <w:rPr>
      <w:rFonts w:eastAsia="宋体" w:asciiTheme="majorHAnsi" w:hAnsiTheme="majorHAnsi" w:cstheme="majorBidi"/>
      <w:b/>
      <w:bCs/>
      <w:sz w:val="32"/>
      <w:szCs w:val="32"/>
      <w:lang w:eastAsia="en-US"/>
    </w:rPr>
  </w:style>
  <w:style w:type="character" w:customStyle="1" w:styleId="18">
    <w:name w:val="正文文本缩进 字符"/>
    <w:basedOn w:val="15"/>
    <w:link w:val="4"/>
    <w:semiHidden/>
    <w:qFormat/>
    <w:uiPriority w:val="99"/>
    <w:rPr>
      <w:rFonts w:ascii="Times New Roman" w:hAnsi="Times New Roman" w:eastAsia="宋体" w:cs="Times New Roman"/>
      <w:szCs w:val="24"/>
    </w:rPr>
  </w:style>
  <w:style w:type="character" w:customStyle="1" w:styleId="19">
    <w:name w:val="正文文本首行缩进 2 字符"/>
    <w:basedOn w:val="18"/>
    <w:link w:val="12"/>
    <w:qFormat/>
    <w:uiPriority w:val="99"/>
    <w:rPr>
      <w:rFonts w:ascii="Times New Roman" w:hAnsi="Times New Roman" w:eastAsia="宋体" w:cs="Times New Roman"/>
      <w:kern w:val="2"/>
      <w:sz w:val="21"/>
      <w:szCs w:val="24"/>
    </w:rPr>
  </w:style>
  <w:style w:type="character" w:customStyle="1" w:styleId="20">
    <w:name w:val="正文文本 字符"/>
    <w:basedOn w:val="15"/>
    <w:link w:val="3"/>
    <w:qFormat/>
    <w:uiPriority w:val="0"/>
    <w:rPr>
      <w:rFonts w:ascii="宋体" w:hAnsi="Times New Roman" w:eastAsia="宋体" w:cs="Times New Roman"/>
      <w:b/>
      <w:bCs/>
      <w:color w:val="FF0000"/>
      <w:sz w:val="44"/>
      <w:szCs w:val="36"/>
    </w:rPr>
  </w:style>
  <w:style w:type="character" w:customStyle="1" w:styleId="21">
    <w:name w:val="页眉 字符"/>
    <w:basedOn w:val="15"/>
    <w:link w:val="8"/>
    <w:qFormat/>
    <w:uiPriority w:val="99"/>
    <w:rPr>
      <w:rFonts w:ascii="Times New Roman" w:hAnsi="Times New Roman" w:eastAsia="宋体" w:cs="Times New Roman"/>
      <w:sz w:val="18"/>
      <w:szCs w:val="18"/>
    </w:rPr>
  </w:style>
  <w:style w:type="character" w:customStyle="1" w:styleId="22">
    <w:name w:val="页脚 字符"/>
    <w:basedOn w:val="15"/>
    <w:link w:val="7"/>
    <w:qFormat/>
    <w:uiPriority w:val="99"/>
    <w:rPr>
      <w:rFonts w:ascii="Times New Roman" w:hAnsi="Times New Roman" w:eastAsia="宋体" w:cs="Times New Roman"/>
      <w:sz w:val="18"/>
      <w:szCs w:val="18"/>
    </w:rPr>
  </w:style>
  <w:style w:type="character" w:customStyle="1" w:styleId="23">
    <w:name w:val="批注框文本 字符"/>
    <w:basedOn w:val="15"/>
    <w:link w:val="6"/>
    <w:semiHidden/>
    <w:qFormat/>
    <w:uiPriority w:val="99"/>
    <w:rPr>
      <w:rFonts w:ascii="Times New Roman" w:hAnsi="Times New Roman" w:eastAsia="宋体" w:cs="Times New Roman"/>
      <w:kern w:val="2"/>
      <w:sz w:val="18"/>
      <w:szCs w:val="18"/>
    </w:rPr>
  </w:style>
  <w:style w:type="paragraph" w:styleId="24">
    <w:name w:val="List Paragraph"/>
    <w:basedOn w:val="1"/>
    <w:qFormat/>
    <w:uiPriority w:val="99"/>
    <w:pPr>
      <w:ind w:firstLine="420" w:firstLineChars="200"/>
    </w:pPr>
    <w:rPr>
      <w:rFonts w:asciiTheme="minorHAnsi" w:hAnsiTheme="minorHAnsi" w:eastAsiaTheme="minorEastAsia" w:cstheme="minorBidi"/>
      <w:szCs w:val="22"/>
    </w:rPr>
  </w:style>
  <w:style w:type="character" w:customStyle="1" w:styleId="25">
    <w:name w:val="日期 字符"/>
    <w:basedOn w:val="15"/>
    <w:link w:val="5"/>
    <w:semiHidden/>
    <w:qFormat/>
    <w:uiPriority w:val="99"/>
    <w:rPr>
      <w:rFonts w:ascii="Times New Roman" w:hAnsi="Times New Roman" w:eastAsia="宋体" w:cs="Times New Roman"/>
      <w:kern w:val="2"/>
      <w:sz w:val="21"/>
      <w:szCs w:val="24"/>
    </w:rPr>
  </w:style>
  <w:style w:type="character" w:customStyle="1" w:styleId="26">
    <w:name w:val="批注文字 字符"/>
    <w:basedOn w:val="15"/>
    <w:link w:val="2"/>
    <w:semiHidden/>
    <w:qFormat/>
    <w:uiPriority w:val="99"/>
    <w:rPr>
      <w:rFonts w:ascii="Times New Roman" w:hAnsi="Times New Roman" w:eastAsia="宋体" w:cs="Times New Roman"/>
      <w:kern w:val="2"/>
      <w:sz w:val="21"/>
      <w:szCs w:val="24"/>
    </w:rPr>
  </w:style>
  <w:style w:type="character" w:customStyle="1" w:styleId="27">
    <w:name w:val="批注主题 字符"/>
    <w:basedOn w:val="26"/>
    <w:link w:val="11"/>
    <w:semiHidden/>
    <w:qFormat/>
    <w:uiPriority w:val="99"/>
    <w:rPr>
      <w:rFonts w:ascii="Times New Roman" w:hAnsi="Times New Roman" w:eastAsia="宋体" w:cs="Times New Roman"/>
      <w:b/>
      <w:bCs/>
      <w:kern w:val="2"/>
      <w:sz w:val="21"/>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DA57C-DE86-451A-A438-9B406BCFA69F}">
  <ds:schemaRefs/>
</ds:datastoreItem>
</file>

<file path=docProps/app.xml><?xml version="1.0" encoding="utf-8"?>
<Properties xmlns="http://schemas.openxmlformats.org/officeDocument/2006/extended-properties" xmlns:vt="http://schemas.openxmlformats.org/officeDocument/2006/docPropsVTypes">
  <Template>Normal.dotm</Template>
  <Company>FiSh'S WebSite 徐晓维</Company>
  <Pages>5</Pages>
  <Words>2224</Words>
  <Characters>2837</Characters>
  <Lines>21</Lines>
  <Paragraphs>6</Paragraphs>
  <TotalTime>624</TotalTime>
  <ScaleCrop>false</ScaleCrop>
  <LinksUpToDate>false</LinksUpToDate>
  <CharactersWithSpaces>2937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2024-06-24T07:14:00Z</dcterms:created>
  <dc:creator>mac</dc:creator>
  <cp:lastModifiedBy>陈文嘉</cp:lastModifiedBy>
  <dcterms:modified xsi:type="dcterms:W3CDTF">2025-04-24T03:54:29Z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eyJoZGlkIjoiOTZmN2FkNTI0YjcyNDEyYzAxMDE0ZTVkNzlhMWY3YmMiLCJ1c2VySWQiOiI0NTc1OTY5MzgifQ==</vt:lpwstr>
  </property>
  <property fmtid="{D5CDD505-2E9C-101B-9397-08002B2CF9AE}" pid="4" name="ICV">
    <vt:lpwstr>60671B48FB4B4947B31D95C2207C0138_12</vt:lpwstr>
  </property>
</Properties>
</file>